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EC3A1A">
        <w:rPr>
          <w:rFonts w:ascii="方正简体仿宋" w:eastAsia="方正简体仿宋" w:hAnsi="宋体"/>
          <w:color w:val="000000"/>
          <w:sz w:val="28"/>
          <w:szCs w:val="28"/>
        </w:rPr>
        <w:t>脑组织氧饱和度监测仪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4A5E67" w:rsidRPr="004A5E67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公告指定日期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E102A8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脑组织氧饱和度监测仪</w:t>
            </w:r>
          </w:p>
        </w:tc>
        <w:tc>
          <w:tcPr>
            <w:tcW w:w="1134" w:type="dxa"/>
          </w:tcPr>
          <w:p w:rsidR="007D49B2" w:rsidRPr="00A854AF" w:rsidRDefault="00E102A8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584E77" w:rsidRDefault="00584E77">
      <w:pPr>
        <w:widowControl/>
        <w:spacing w:line="240" w:lineRule="auto"/>
        <w:jc w:val="left"/>
        <w:rPr>
          <w:rFonts w:ascii="方正简体仿宋" w:eastAsia="方正简体仿宋" w:hAnsi="黑体" w:cs="Calibri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  <w:br w:type="page"/>
      </w:r>
    </w:p>
    <w:p w:rsidR="00A854AF" w:rsidRP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基本技术要求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1.·监测脑组织血氧饱和度(rSO2)，测量范围及分辨率:1%~99%，分辨率1%;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2.可设置报警范围:上限20-98%，下限15%-95%;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3.可监测信号质量，并由图形模拟显示;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4.可显示及设置基线值，并实时计算相对基线值的变化量;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5.可监测脑组织中氧合血红蛋白浓度相对测量初始值的变化量(ΔOzHb)，测量范围为-100~100μmol/L;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6.监测脑组织中还原血红蛋白浓度相对测量初始值的变化量(ΔHHb)，测量范围为-100~100μmol/L;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7.监测脑组织中总血红蛋白浓度相对测量初始值的变化量(△tHb)，测量范围为-100~100μmol/L;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8.具有多种监测状态报警提示，包括并不限于:传感器连接失败、传感器探头位置出错、传感器数据不稳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定、环境光过强、模块未连接、传感器未连接、电池电量低、超过上限、低于下限;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9.传感器光源穿透深度≥2cm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10.准确度:相对于颈内静脉与桡动脉氧饱和度值的加权值标准差≤2.16%，偏差为0.25%;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11.仪器通道数≥2，每个通道可同屏监测、显示5个参数的数值或趋势曲线;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12.具有USB接口，可通过USB接口进行数据传输、系统升</w:t>
      </w:r>
      <w:r w:rsidRPr="00E102A8">
        <w:rPr>
          <w:rFonts w:ascii="方正简体仿宋" w:eastAsia="方正简体仿宋" w:hint="eastAsia"/>
          <w:sz w:val="28"/>
          <w:szCs w:val="28"/>
        </w:rPr>
        <w:lastRenderedPageBreak/>
        <w:t>级等功能;13.具有多种型号的一次性使用传感器/单病人使用传感器，自带背胶;14.具有多种型号的可重复使用传感器，可重复使用次数不小于150次;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15.记录存储能力:连续监测时间≥5000小时;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16.传感器:多波长非激光LED 光源，LED 发光管平均辐射功率≤1mW;17.采样及刷新频率:采样频率100Hz，刷新频率2秒/次;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18.显示屏幕:≥12英寸，分辨率≥1024*768;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19.备用电源:内置可充电锂电池，电池工作时间不少于3小时;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>
        <w:rPr>
          <w:rFonts w:ascii="方正简体仿宋" w:eastAsia="方正简体仿宋" w:hint="eastAsia"/>
          <w:sz w:val="28"/>
          <w:szCs w:val="28"/>
        </w:rPr>
        <w:t>20</w:t>
      </w:r>
      <w:r w:rsidRPr="00E102A8">
        <w:rPr>
          <w:rFonts w:ascii="方正简体仿宋" w:eastAsia="方正简体仿宋" w:hint="eastAsia"/>
          <w:sz w:val="28"/>
          <w:szCs w:val="28"/>
        </w:rPr>
        <w:t>.测量过程中可标记事件，可在任何时问做标记;</w:t>
      </w:r>
    </w:p>
    <w:p w:rsidR="00E102A8" w:rsidRPr="00E102A8" w:rsidRDefault="00E102A8" w:rsidP="00E102A8">
      <w:pPr>
        <w:pStyle w:val="aa"/>
        <w:ind w:left="719" w:firstLine="560"/>
        <w:rPr>
          <w:rFonts w:ascii="方正简体仿宋" w:eastAsia="方正简体仿宋" w:hint="eastAsia"/>
          <w:sz w:val="28"/>
          <w:szCs w:val="28"/>
        </w:rPr>
      </w:pPr>
      <w:r>
        <w:rPr>
          <w:rFonts w:ascii="方正简体仿宋" w:eastAsia="方正简体仿宋" w:hint="eastAsia"/>
          <w:sz w:val="28"/>
          <w:szCs w:val="28"/>
        </w:rPr>
        <w:t>21</w:t>
      </w:r>
      <w:r w:rsidRPr="00E102A8">
        <w:rPr>
          <w:rFonts w:ascii="方正简体仿宋" w:eastAsia="方正简体仿宋" w:hint="eastAsia"/>
          <w:sz w:val="28"/>
          <w:szCs w:val="28"/>
        </w:rPr>
        <w:t>.时间标尺:可设置不同时间段，最长时间不小于24h23.具有皮肤检查功能，自检时长可设置1-12小时;</w:t>
      </w:r>
    </w:p>
    <w:p w:rsidR="00A854AF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  <w:r w:rsidRPr="00E102A8">
        <w:rPr>
          <w:rFonts w:ascii="方正简体仿宋" w:eastAsia="方正简体仿宋" w:hint="eastAsia"/>
          <w:sz w:val="28"/>
          <w:szCs w:val="28"/>
        </w:rPr>
        <w:t>24.具有多档屏幕亮度调节功能，可根据实际需求调节需要的屏幕亮度;</w:t>
      </w: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E102A8" w:rsidRDefault="00E102A8" w:rsidP="00E102A8">
      <w:pPr>
        <w:pStyle w:val="aa"/>
        <w:ind w:left="719" w:firstLineChars="0" w:firstLine="0"/>
        <w:rPr>
          <w:rFonts w:ascii="方正简体仿宋" w:eastAsia="方正简体仿宋" w:hint="eastAsia"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F92695" w:rsidRDefault="00F92695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 w:rsidRPr="00F92695">
              <w:rPr>
                <w:rFonts w:ascii="方正简体仿宋" w:eastAsia="方正简体仿宋" w:hAnsi="宋体"/>
                <w:color w:val="000000"/>
                <w:sz w:val="24"/>
                <w:szCs w:val="24"/>
              </w:rPr>
              <w:t>脑组织氧饱和度监测仪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B2309F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  <w:r w:rsidR="000331E3"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台</w:t>
            </w: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项目名称：</w:t>
      </w:r>
      <w:r w:rsidR="00F92695">
        <w:rPr>
          <w:rFonts w:ascii="方正简体仿宋" w:eastAsia="方正简体仿宋" w:hint="eastAsia"/>
          <w:b/>
          <w:bCs/>
          <w:kern w:val="44"/>
          <w:sz w:val="32"/>
          <w:szCs w:val="28"/>
          <w:u w:val="single"/>
        </w:rPr>
        <w:t>脑组织氧饱和度监测仪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61458E" w:rsidRPr="00A854AF" w:rsidRDefault="00A4138E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A4138E" w:rsidRPr="00A854AF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91" w:rsidRDefault="00B56191">
      <w:pPr>
        <w:spacing w:line="240" w:lineRule="auto"/>
      </w:pPr>
      <w:r>
        <w:separator/>
      </w:r>
    </w:p>
  </w:endnote>
  <w:endnote w:type="continuationSeparator" w:id="1">
    <w:p w:rsidR="00B56191" w:rsidRDefault="00B56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91" w:rsidRDefault="00B56191">
      <w:r>
        <w:separator/>
      </w:r>
    </w:p>
  </w:footnote>
  <w:footnote w:type="continuationSeparator" w:id="1">
    <w:p w:rsidR="00B56191" w:rsidRDefault="00B5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2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4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2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0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39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3"/>
  </w:num>
  <w:num w:numId="38">
    <w:abstractNumId w:val="37"/>
  </w:num>
  <w:num w:numId="39">
    <w:abstractNumId w:val="21"/>
  </w:num>
  <w:num w:numId="40">
    <w:abstractNumId w:val="22"/>
  </w:num>
  <w:num w:numId="41">
    <w:abstractNumId w:val="44"/>
  </w:num>
  <w:num w:numId="42">
    <w:abstractNumId w:val="23"/>
  </w:num>
  <w:num w:numId="43">
    <w:abstractNumId w:val="27"/>
  </w:num>
  <w:num w:numId="44">
    <w:abstractNumId w:val="20"/>
  </w:num>
  <w:num w:numId="45">
    <w:abstractNumId w:val="4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328F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A05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4B36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135A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5E67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6F2"/>
    <w:rsid w:val="0057786F"/>
    <w:rsid w:val="00583933"/>
    <w:rsid w:val="00584254"/>
    <w:rsid w:val="00584E77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309F"/>
    <w:rsid w:val="00B245B8"/>
    <w:rsid w:val="00B24815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6191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2A1C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2AFA"/>
    <w:rsid w:val="00C13F47"/>
    <w:rsid w:val="00C141EC"/>
    <w:rsid w:val="00C1518C"/>
    <w:rsid w:val="00C16367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11DB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02A8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A94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3A1A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2695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FD3A-8000-47B3-A4E7-70F6BC6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7</cp:revision>
  <cp:lastPrinted>2023-08-23T00:01:00Z</cp:lastPrinted>
  <dcterms:created xsi:type="dcterms:W3CDTF">2023-10-20T03:19:00Z</dcterms:created>
  <dcterms:modified xsi:type="dcterms:W3CDTF">2023-10-20T03:43:00Z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