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/>
          <w:b/>
          <w:bCs w:val="0"/>
          <w:snapToGrid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 w:val="0"/>
          <w:snapToGrid w:val="0"/>
          <w:color w:val="auto"/>
          <w:sz w:val="28"/>
          <w:szCs w:val="28"/>
          <w:lang w:val="en-US" w:eastAsia="zh-CN"/>
        </w:rPr>
        <w:t>医师执业险的服务需求：</w:t>
      </w:r>
    </w:p>
    <w:p>
      <w:pPr>
        <w:numPr>
          <w:ilvl w:val="0"/>
          <w:numId w:val="1"/>
        </w:numP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医院（医生、药师）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在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线上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依法从事诊疗活动过程中因执业过失造成患者人身损害，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患者（本人、家属、亲属）向医院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提出损害赔偿请求的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eastAsia="zh-CN"/>
        </w:rPr>
      </w:pP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患者（本人、家属、亲属）对医院（医生、药师）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在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线上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诊疗活动过程中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的治疗结果及其发生的原因在认识上不一致，</w:t>
      </w:r>
      <w:r>
        <w:rPr>
          <w:rFonts w:hint="eastAsia"/>
          <w:b w:val="0"/>
          <w:bCs/>
          <w:color w:val="auto"/>
          <w:sz w:val="28"/>
          <w:szCs w:val="28"/>
          <w:lang w:val="en-US" w:eastAsia="zh-CN"/>
        </w:rPr>
        <w:t>或出现了明显的损害后果而出现了分歧和争议，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且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患者（本人、家属、亲属）向医院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提出损害赔偿请求的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rPr>
          <w:b w:val="0"/>
          <w:bCs/>
          <w:color w:val="auto"/>
          <w:sz w:val="28"/>
          <w:szCs w:val="28"/>
        </w:rPr>
      </w:pP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依据《医疗纠纷预防和处理条例》、《医疗事故处理条例》、《医疗质量管理办法》等相关法律、法规及规章制度，发生医疗纠纷后由医院及医务人员承担的医疗责任，</w:t>
      </w:r>
      <w:bookmarkStart w:id="0" w:name="OLE_LINK15"/>
      <w:bookmarkStart w:id="1" w:name="OLE_LINK16"/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依据</w:t>
      </w:r>
      <w:bookmarkEnd w:id="0"/>
      <w:bookmarkEnd w:id="1"/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医院相关规定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应由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医生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承担的经济赔偿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eastAsia="zh-CN"/>
        </w:rPr>
        <w:t>；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</w:pP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医疗纠纷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发生后，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医院（医生、药师）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因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医疗纠纷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而被提起仲裁或者诉讼的，对应由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医院</w:t>
      </w:r>
      <w: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  <w:t>支付的仲裁或诉讼费用以及其他必要的、合理的费用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</w:pP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eastAsia="zh-CN"/>
        </w:rPr>
        <w:t>每人</w:t>
      </w:r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val="en-US" w:eastAsia="zh-CN"/>
        </w:rPr>
        <w:t>（医生、药师）</w:t>
      </w:r>
      <w:bookmarkStart w:id="2" w:name="_GoBack"/>
      <w:bookmarkEnd w:id="2"/>
      <w:r>
        <w:rPr>
          <w:rFonts w:hint="eastAsia" w:asciiTheme="minorEastAsia" w:hAnsiTheme="minorEastAsia"/>
          <w:b w:val="0"/>
          <w:bCs/>
          <w:snapToGrid w:val="0"/>
          <w:color w:val="auto"/>
          <w:sz w:val="28"/>
          <w:szCs w:val="28"/>
          <w:lang w:eastAsia="zh-CN"/>
        </w:rPr>
        <w:t>保额贰万元。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/>
          <w:b w:val="0"/>
          <w:bCs/>
          <w:snapToGrid w:val="0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08D326"/>
    <w:multiLevelType w:val="singleLevel"/>
    <w:tmpl w:val="C208D3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mUwYWUwOWMwNTlhN2ZlMzUwM2UzOGZjM2E2ZjIifQ=="/>
  </w:docVars>
  <w:rsids>
    <w:rsidRoot w:val="00000000"/>
    <w:rsid w:val="06BF6C17"/>
    <w:rsid w:val="12B22C50"/>
    <w:rsid w:val="22C90F0E"/>
    <w:rsid w:val="704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337</Characters>
  <Lines>0</Lines>
  <Paragraphs>0</Paragraphs>
  <TotalTime>0</TotalTime>
  <ScaleCrop>false</ScaleCrop>
  <LinksUpToDate>false</LinksUpToDate>
  <CharactersWithSpaces>337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2023-03-13T01:39:00Z</dcterms:created>
  <dc:creator>Administrator</dc:creator>
  <cp:lastModifiedBy>媛</cp:lastModifiedBy>
  <dcterms:modified xsi:type="dcterms:W3CDTF">2023-03-15T02:58:36Z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D6B5EB0844224108AD79AC45E1E74953</vt:lpwstr>
  </property>
</Properties>
</file>