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b/>
          <w:bCs/>
          <w:sz w:val="36"/>
          <w:szCs w:val="36"/>
        </w:rPr>
      </w:pPr>
      <w:r>
        <w:rPr>
          <w:rFonts w:hint="eastAsia"/>
          <w:b/>
          <w:bCs/>
          <w:sz w:val="36"/>
          <w:szCs w:val="36"/>
        </w:rPr>
        <w:t>唐山市人民医院</w:t>
      </w:r>
    </w:p>
    <w:p>
      <w:pPr>
        <w:spacing w:line="480" w:lineRule="exact"/>
        <w:jc w:val="center"/>
        <w:rPr>
          <w:b/>
          <w:bCs/>
          <w:sz w:val="36"/>
          <w:szCs w:val="36"/>
        </w:rPr>
      </w:pPr>
      <w:r>
        <w:rPr>
          <w:rFonts w:hint="eastAsia"/>
          <w:b/>
          <w:bCs/>
          <w:sz w:val="36"/>
          <w:szCs w:val="36"/>
        </w:rPr>
        <w:t>2021年财务报告</w:t>
      </w:r>
    </w:p>
    <w:p>
      <w:pPr>
        <w:spacing w:line="480" w:lineRule="exact"/>
        <w:jc w:val="center"/>
        <w:rPr>
          <w:b/>
          <w:bCs/>
          <w:sz w:val="32"/>
          <w:szCs w:val="32"/>
        </w:rPr>
      </w:pPr>
    </w:p>
    <w:p>
      <w:pPr>
        <w:numPr>
          <w:ilvl w:val="0"/>
          <w:numId w:val="1"/>
        </w:numPr>
        <w:spacing w:line="400" w:lineRule="exact"/>
        <w:ind w:firstLine="562" w:firstLineChars="200"/>
        <w:rPr>
          <w:b/>
          <w:bCs/>
          <w:sz w:val="28"/>
          <w:szCs w:val="28"/>
        </w:rPr>
      </w:pPr>
      <w:r>
        <w:rPr>
          <w:rFonts w:hint="eastAsia"/>
          <w:b/>
          <w:bCs/>
          <w:sz w:val="28"/>
          <w:szCs w:val="28"/>
        </w:rPr>
        <w:t>收入</w:t>
      </w:r>
    </w:p>
    <w:p>
      <w:pPr>
        <w:spacing w:line="400" w:lineRule="exact"/>
        <w:rPr>
          <w:sz w:val="28"/>
          <w:szCs w:val="28"/>
        </w:rPr>
      </w:pPr>
      <w:r>
        <w:rPr>
          <w:rFonts w:hint="eastAsia"/>
          <w:b/>
          <w:bCs/>
          <w:sz w:val="28"/>
          <w:szCs w:val="28"/>
        </w:rPr>
        <w:t xml:space="preserve">  （一）、总收入及医疗业务收入                                     </w:t>
      </w:r>
    </w:p>
    <w:p>
      <w:pPr>
        <w:spacing w:line="320" w:lineRule="exact"/>
        <w:rPr>
          <w:sz w:val="28"/>
          <w:szCs w:val="28"/>
        </w:rPr>
      </w:pPr>
      <w:r>
        <w:rPr>
          <w:rFonts w:hint="eastAsia"/>
          <w:sz w:val="28"/>
          <w:szCs w:val="28"/>
        </w:rPr>
        <w:t xml:space="preserve">                                                 单位：万元</w:t>
      </w:r>
    </w:p>
    <w:tbl>
      <w:tblPr>
        <w:tblStyle w:val="5"/>
        <w:tblpPr w:leftFromText="180" w:rightFromText="180" w:vertAnchor="text" w:horzAnchor="page" w:tblpX="1898" w:tblpY="279"/>
        <w:tblOverlap w:val="never"/>
        <w:tblW w:w="8899" w:type="dxa"/>
        <w:tblInd w:w="0" w:type="dxa"/>
        <w:tblLayout w:type="autofit"/>
        <w:tblCellMar>
          <w:top w:w="0" w:type="dxa"/>
          <w:left w:w="0" w:type="dxa"/>
          <w:bottom w:w="0" w:type="dxa"/>
          <w:right w:w="0" w:type="dxa"/>
        </w:tblCellMar>
      </w:tblPr>
      <w:tblGrid>
        <w:gridCol w:w="1721"/>
        <w:gridCol w:w="1605"/>
        <w:gridCol w:w="1575"/>
        <w:gridCol w:w="1500"/>
        <w:gridCol w:w="1320"/>
        <w:gridCol w:w="1178"/>
      </w:tblGrid>
      <w:tr>
        <w:tblPrEx>
          <w:tblCellMar>
            <w:top w:w="0" w:type="dxa"/>
            <w:left w:w="0" w:type="dxa"/>
            <w:bottom w:w="0" w:type="dxa"/>
            <w:right w:w="0" w:type="dxa"/>
          </w:tblCellMar>
        </w:tblPrEx>
        <w:trPr>
          <w:trHeight w:val="600" w:hRule="atLeast"/>
        </w:trPr>
        <w:tc>
          <w:tcPr>
            <w:tcW w:w="172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日期</w:t>
            </w:r>
          </w:p>
        </w:tc>
        <w:tc>
          <w:tcPr>
            <w:tcW w:w="160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总收入</w:t>
            </w:r>
          </w:p>
        </w:tc>
        <w:tc>
          <w:tcPr>
            <w:tcW w:w="157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其中业务收入</w:t>
            </w:r>
          </w:p>
        </w:tc>
        <w:tc>
          <w:tcPr>
            <w:tcW w:w="15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财政拨款收入</w:t>
            </w:r>
          </w:p>
        </w:tc>
        <w:tc>
          <w:tcPr>
            <w:tcW w:w="132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科教收入</w:t>
            </w:r>
          </w:p>
        </w:tc>
        <w:tc>
          <w:tcPr>
            <w:tcW w:w="117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4"/>
              </w:rPr>
            </w:pPr>
            <w:r>
              <w:rPr>
                <w:rFonts w:hint="eastAsia" w:ascii="宋体" w:hAnsi="宋体" w:eastAsia="宋体" w:cs="宋体"/>
                <w:color w:val="000000"/>
                <w:kern w:val="0"/>
                <w:sz w:val="24"/>
              </w:rPr>
              <w:t>其他收入</w:t>
            </w:r>
          </w:p>
        </w:tc>
      </w:tr>
      <w:tr>
        <w:tblPrEx>
          <w:tblCellMar>
            <w:top w:w="0" w:type="dxa"/>
            <w:left w:w="0" w:type="dxa"/>
            <w:bottom w:w="0" w:type="dxa"/>
            <w:right w:w="0" w:type="dxa"/>
          </w:tblCellMar>
        </w:tblPrEx>
        <w:trPr>
          <w:trHeight w:val="610" w:hRule="atLeast"/>
        </w:trPr>
        <w:tc>
          <w:tcPr>
            <w:tcW w:w="172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2021年</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4"/>
              </w:rPr>
            </w:pPr>
            <w:r>
              <w:rPr>
                <w:rFonts w:hint="eastAsia" w:ascii="宋体" w:hAnsi="宋体" w:eastAsia="宋体" w:cs="宋体"/>
                <w:color w:val="000000"/>
                <w:sz w:val="24"/>
              </w:rPr>
              <w:t>148847.99</w:t>
            </w:r>
          </w:p>
        </w:tc>
        <w:tc>
          <w:tcPr>
            <w:tcW w:w="15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141152.14</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7288.26</w:t>
            </w:r>
          </w:p>
        </w:tc>
        <w:tc>
          <w:tcPr>
            <w:tcW w:w="13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202.45</w:t>
            </w:r>
          </w:p>
        </w:tc>
        <w:tc>
          <w:tcPr>
            <w:tcW w:w="11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4"/>
              </w:rPr>
            </w:pPr>
            <w:r>
              <w:rPr>
                <w:rFonts w:hint="eastAsia" w:ascii="宋体" w:hAnsi="宋体" w:eastAsia="宋体" w:cs="宋体"/>
                <w:color w:val="000000"/>
                <w:sz w:val="24"/>
              </w:rPr>
              <w:t>205.14</w:t>
            </w:r>
          </w:p>
        </w:tc>
      </w:tr>
      <w:tr>
        <w:tblPrEx>
          <w:tblCellMar>
            <w:top w:w="0" w:type="dxa"/>
            <w:left w:w="0" w:type="dxa"/>
            <w:bottom w:w="0" w:type="dxa"/>
            <w:right w:w="0" w:type="dxa"/>
          </w:tblCellMar>
        </w:tblPrEx>
        <w:trPr>
          <w:trHeight w:val="625" w:hRule="atLeast"/>
        </w:trPr>
        <w:tc>
          <w:tcPr>
            <w:tcW w:w="172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2020年</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4"/>
              </w:rPr>
            </w:pPr>
            <w:r>
              <w:rPr>
                <w:rFonts w:hint="eastAsia" w:ascii="宋体" w:hAnsi="宋体" w:eastAsia="宋体" w:cs="宋体"/>
                <w:color w:val="000000"/>
                <w:sz w:val="24"/>
              </w:rPr>
              <w:t>132963.90</w:t>
            </w:r>
          </w:p>
        </w:tc>
        <w:tc>
          <w:tcPr>
            <w:tcW w:w="15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126267.70</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5877.39</w:t>
            </w:r>
          </w:p>
        </w:tc>
        <w:tc>
          <w:tcPr>
            <w:tcW w:w="13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679.60</w:t>
            </w:r>
          </w:p>
        </w:tc>
        <w:tc>
          <w:tcPr>
            <w:tcW w:w="11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4"/>
              </w:rPr>
            </w:pPr>
            <w:r>
              <w:rPr>
                <w:rFonts w:hint="eastAsia" w:ascii="宋体" w:hAnsi="宋体" w:eastAsia="宋体" w:cs="宋体"/>
                <w:color w:val="000000"/>
                <w:sz w:val="24"/>
              </w:rPr>
              <w:t>138.21</w:t>
            </w:r>
          </w:p>
        </w:tc>
      </w:tr>
      <w:tr>
        <w:tblPrEx>
          <w:tblCellMar>
            <w:top w:w="0" w:type="dxa"/>
            <w:left w:w="0" w:type="dxa"/>
            <w:bottom w:w="0" w:type="dxa"/>
            <w:right w:w="0" w:type="dxa"/>
          </w:tblCellMar>
        </w:tblPrEx>
        <w:trPr>
          <w:trHeight w:val="670" w:hRule="atLeast"/>
        </w:trPr>
        <w:tc>
          <w:tcPr>
            <w:tcW w:w="172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同比增减</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4"/>
              </w:rPr>
            </w:pPr>
            <w:r>
              <w:rPr>
                <w:rFonts w:hint="eastAsia" w:ascii="宋体" w:hAnsi="宋体" w:eastAsia="宋体" w:cs="宋体"/>
                <w:color w:val="000000"/>
                <w:sz w:val="24"/>
              </w:rPr>
              <w:t>15884.09</w:t>
            </w:r>
          </w:p>
        </w:tc>
        <w:tc>
          <w:tcPr>
            <w:tcW w:w="15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4"/>
              </w:rPr>
            </w:pPr>
            <w:r>
              <w:rPr>
                <w:rFonts w:hint="eastAsia" w:ascii="宋体" w:hAnsi="宋体" w:eastAsia="宋体" w:cs="宋体"/>
                <w:color w:val="000000"/>
                <w:sz w:val="24"/>
              </w:rPr>
              <w:t>14884.44</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4"/>
              </w:rPr>
            </w:pPr>
            <w:r>
              <w:rPr>
                <w:rFonts w:hint="eastAsia" w:ascii="宋体" w:hAnsi="宋体" w:eastAsia="宋体" w:cs="宋体"/>
                <w:color w:val="000000"/>
                <w:sz w:val="24"/>
              </w:rPr>
              <w:t>1410.87</w:t>
            </w:r>
          </w:p>
        </w:tc>
        <w:tc>
          <w:tcPr>
            <w:tcW w:w="13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4"/>
              </w:rPr>
            </w:pPr>
            <w:r>
              <w:rPr>
                <w:rFonts w:hint="eastAsia" w:ascii="宋体" w:hAnsi="宋体" w:eastAsia="宋体" w:cs="宋体"/>
                <w:color w:val="000000"/>
                <w:sz w:val="24"/>
              </w:rPr>
              <w:t>-477.15</w:t>
            </w:r>
          </w:p>
        </w:tc>
        <w:tc>
          <w:tcPr>
            <w:tcW w:w="11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4"/>
              </w:rPr>
            </w:pPr>
            <w:r>
              <w:rPr>
                <w:rFonts w:hint="eastAsia" w:ascii="宋体" w:hAnsi="宋体" w:eastAsia="宋体" w:cs="宋体"/>
                <w:color w:val="000000"/>
                <w:sz w:val="24"/>
              </w:rPr>
              <w:t>66.93</w:t>
            </w:r>
          </w:p>
        </w:tc>
      </w:tr>
      <w:tr>
        <w:tblPrEx>
          <w:tblCellMar>
            <w:top w:w="0" w:type="dxa"/>
            <w:left w:w="0" w:type="dxa"/>
            <w:bottom w:w="0" w:type="dxa"/>
            <w:right w:w="0" w:type="dxa"/>
          </w:tblCellMar>
        </w:tblPrEx>
        <w:trPr>
          <w:trHeight w:val="660" w:hRule="atLeast"/>
        </w:trPr>
        <w:tc>
          <w:tcPr>
            <w:tcW w:w="172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同比增长</w:t>
            </w:r>
          </w:p>
        </w:tc>
        <w:tc>
          <w:tcPr>
            <w:tcW w:w="16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4"/>
              </w:rPr>
            </w:pPr>
            <w:r>
              <w:rPr>
                <w:rFonts w:hint="eastAsia" w:ascii="宋体" w:hAnsi="宋体" w:eastAsia="宋体" w:cs="宋体"/>
                <w:color w:val="000000"/>
                <w:sz w:val="24"/>
              </w:rPr>
              <w:t>11.95%</w:t>
            </w:r>
          </w:p>
        </w:tc>
        <w:tc>
          <w:tcPr>
            <w:tcW w:w="15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4"/>
              </w:rPr>
            </w:pPr>
            <w:r>
              <w:rPr>
                <w:rFonts w:hint="eastAsia" w:ascii="宋体" w:hAnsi="宋体" w:eastAsia="宋体" w:cs="宋体"/>
                <w:color w:val="000000"/>
                <w:sz w:val="24"/>
              </w:rPr>
              <w:t>11.79%</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4"/>
              </w:rPr>
            </w:pPr>
            <w:r>
              <w:rPr>
                <w:rFonts w:hint="eastAsia" w:ascii="宋体" w:hAnsi="宋体" w:eastAsia="宋体" w:cs="宋体"/>
                <w:color w:val="000000"/>
                <w:sz w:val="24"/>
              </w:rPr>
              <w:t>24.01%</w:t>
            </w:r>
          </w:p>
        </w:tc>
        <w:tc>
          <w:tcPr>
            <w:tcW w:w="13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4"/>
              </w:rPr>
            </w:pPr>
            <w:r>
              <w:rPr>
                <w:rFonts w:hint="eastAsia" w:ascii="宋体" w:hAnsi="宋体" w:eastAsia="宋体" w:cs="宋体"/>
                <w:color w:val="000000"/>
                <w:sz w:val="24"/>
              </w:rPr>
              <w:t>-70.21%</w:t>
            </w:r>
          </w:p>
        </w:tc>
        <w:tc>
          <w:tcPr>
            <w:tcW w:w="11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eastAsia="宋体" w:cs="宋体"/>
                <w:color w:val="000000"/>
                <w:sz w:val="24"/>
              </w:rPr>
            </w:pPr>
            <w:r>
              <w:rPr>
                <w:rFonts w:hint="eastAsia" w:ascii="宋体" w:hAnsi="宋体" w:eastAsia="宋体" w:cs="宋体"/>
                <w:color w:val="000000"/>
                <w:sz w:val="24"/>
              </w:rPr>
              <w:t>32.63%</w:t>
            </w:r>
          </w:p>
        </w:tc>
      </w:tr>
    </w:tbl>
    <w:p>
      <w:pPr>
        <w:spacing w:line="320" w:lineRule="exact"/>
        <w:rPr>
          <w:sz w:val="28"/>
          <w:szCs w:val="28"/>
        </w:rPr>
      </w:pPr>
    </w:p>
    <w:p>
      <w:pPr>
        <w:ind w:firstLine="420" w:firstLineChars="200"/>
        <w:rPr>
          <w:sz w:val="28"/>
          <w:szCs w:val="28"/>
        </w:rPr>
      </w:pPr>
      <w:r>
        <w:drawing>
          <wp:inline distT="0" distB="0" distL="114300" distR="114300">
            <wp:extent cx="5516245" cy="2828925"/>
            <wp:effectExtent l="4445" t="4445" r="22860" b="508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ind w:firstLine="560" w:firstLineChars="200"/>
        <w:rPr>
          <w:sz w:val="28"/>
          <w:szCs w:val="28"/>
        </w:rPr>
      </w:pPr>
      <w:r>
        <w:rPr>
          <w:rFonts w:hint="eastAsia"/>
          <w:sz w:val="28"/>
          <w:szCs w:val="28"/>
        </w:rPr>
        <w:t>医院2021年总收入为148847.99万元，比去年同期的132963.90万元增加15884.09万元，增长11.95%。</w:t>
      </w:r>
    </w:p>
    <w:p>
      <w:pPr>
        <w:ind w:firstLine="560" w:firstLineChars="200"/>
        <w:rPr>
          <w:sz w:val="28"/>
          <w:szCs w:val="28"/>
        </w:rPr>
      </w:pPr>
      <w:r>
        <w:rPr>
          <w:rFonts w:hint="eastAsia"/>
          <w:sz w:val="28"/>
          <w:szCs w:val="28"/>
        </w:rPr>
        <w:t>1、医疗业务收入为141152.14万元，比去年同期的126267.70万元增加14884.44万元，增长11.79%。</w:t>
      </w:r>
    </w:p>
    <w:p>
      <w:pPr>
        <w:ind w:firstLine="560" w:firstLineChars="200"/>
        <w:rPr>
          <w:sz w:val="28"/>
          <w:szCs w:val="28"/>
        </w:rPr>
      </w:pPr>
      <w:r>
        <w:rPr>
          <w:rFonts w:hint="eastAsia"/>
          <w:sz w:val="28"/>
          <w:szCs w:val="28"/>
        </w:rPr>
        <w:t>2、财政拨款收入7288.26万元，比去年同期的5877.39万元增加1410.87万元，增长24.01%。其中市财政拨款5978.10万元，非同级财政拨款1310.16万元。</w:t>
      </w:r>
    </w:p>
    <w:p>
      <w:pPr>
        <w:ind w:firstLine="560" w:firstLineChars="200"/>
        <w:rPr>
          <w:sz w:val="28"/>
          <w:szCs w:val="28"/>
        </w:rPr>
      </w:pPr>
      <w:r>
        <w:rPr>
          <w:rFonts w:hint="eastAsia"/>
          <w:sz w:val="28"/>
          <w:szCs w:val="28"/>
        </w:rPr>
        <w:t>3、科教收入202.45万元，比去年同期的679.60万元减少447.15万元，下降70.21%。</w:t>
      </w:r>
    </w:p>
    <w:p>
      <w:pPr>
        <w:ind w:firstLine="560" w:firstLineChars="200"/>
        <w:rPr>
          <w:sz w:val="28"/>
          <w:szCs w:val="28"/>
        </w:rPr>
      </w:pPr>
      <w:r>
        <w:rPr>
          <w:rFonts w:hint="eastAsia"/>
          <w:sz w:val="28"/>
          <w:szCs w:val="28"/>
        </w:rPr>
        <w:t>4、其他收入205.14万元，比去年同期的138.21万元增加66.93万元，增长32.63%。其中捐赠收入3.64万元，国有资产出租出借收入71.71万元，利息收入13.94万元，其他115.85万元。</w:t>
      </w:r>
    </w:p>
    <w:p>
      <w:pPr>
        <w:ind w:firstLine="560" w:firstLineChars="200"/>
        <w:rPr>
          <w:sz w:val="28"/>
          <w:szCs w:val="28"/>
        </w:rPr>
      </w:pPr>
      <w:r>
        <w:rPr>
          <w:rFonts w:hint="eastAsia"/>
          <w:sz w:val="28"/>
          <w:szCs w:val="28"/>
        </w:rPr>
        <w:t>5、药品收入为60709.96万元，药占比42.64%，比去年同期的43.95%下降1.31%。</w:t>
      </w:r>
    </w:p>
    <w:p>
      <w:pPr>
        <w:ind w:firstLine="560" w:firstLineChars="200"/>
        <w:rPr>
          <w:sz w:val="28"/>
          <w:szCs w:val="28"/>
        </w:rPr>
      </w:pPr>
      <w:r>
        <w:rPr>
          <w:rFonts w:hint="eastAsia"/>
          <w:sz w:val="28"/>
          <w:szCs w:val="28"/>
        </w:rPr>
        <w:t>6、一次性耗材收入17633.91万元，耗占比为12.49%，剔除药品收入后耗占比为21.92%，与去年的同期的21.96%基本持平。</w:t>
      </w:r>
    </w:p>
    <w:p>
      <w:pPr>
        <w:ind w:firstLine="560" w:firstLineChars="200"/>
        <w:rPr>
          <w:sz w:val="28"/>
          <w:szCs w:val="28"/>
        </w:rPr>
      </w:pPr>
      <w:r>
        <w:rPr>
          <w:rFonts w:hint="eastAsia"/>
          <w:sz w:val="28"/>
          <w:szCs w:val="28"/>
        </w:rPr>
        <w:t>7、医疗服务收入为25941.42万元，占医疗业务收入的18.38%，与去年同期的19.02%下降0.64%。</w:t>
      </w:r>
    </w:p>
    <w:p>
      <w:pPr>
        <w:ind w:firstLine="562" w:firstLineChars="200"/>
        <w:rPr>
          <w:b/>
          <w:bCs/>
          <w:sz w:val="28"/>
          <w:szCs w:val="28"/>
        </w:rPr>
      </w:pPr>
      <w:r>
        <w:rPr>
          <w:rFonts w:hint="eastAsia"/>
          <w:b/>
          <w:bCs/>
          <w:sz w:val="28"/>
          <w:szCs w:val="28"/>
        </w:rPr>
        <w:t>（二）、按分类项目收入进行统计</w:t>
      </w:r>
    </w:p>
    <w:p>
      <w:pPr>
        <w:ind w:left="420" w:leftChars="200"/>
        <w:rPr>
          <w:sz w:val="28"/>
          <w:szCs w:val="28"/>
        </w:rPr>
      </w:pPr>
      <w:r>
        <w:rPr>
          <w:rFonts w:hint="eastAsia"/>
          <w:b/>
          <w:bCs/>
          <w:sz w:val="28"/>
          <w:szCs w:val="28"/>
        </w:rPr>
        <w:t xml:space="preserve">                                      </w:t>
      </w:r>
      <w:r>
        <w:rPr>
          <w:rFonts w:hint="eastAsia"/>
          <w:sz w:val="28"/>
          <w:szCs w:val="28"/>
        </w:rPr>
        <w:t>单位：万元</w:t>
      </w:r>
    </w:p>
    <w:tbl>
      <w:tblPr>
        <w:tblStyle w:val="5"/>
        <w:tblW w:w="8162" w:type="dxa"/>
        <w:tblInd w:w="93" w:type="dxa"/>
        <w:tblLayout w:type="fixed"/>
        <w:tblCellMar>
          <w:top w:w="0" w:type="dxa"/>
          <w:left w:w="108" w:type="dxa"/>
          <w:bottom w:w="0" w:type="dxa"/>
          <w:right w:w="108" w:type="dxa"/>
        </w:tblCellMar>
      </w:tblPr>
      <w:tblGrid>
        <w:gridCol w:w="1762"/>
        <w:gridCol w:w="1725"/>
        <w:gridCol w:w="1400"/>
        <w:gridCol w:w="1413"/>
        <w:gridCol w:w="1862"/>
      </w:tblGrid>
      <w:tr>
        <w:tblPrEx>
          <w:tblCellMar>
            <w:top w:w="0" w:type="dxa"/>
            <w:left w:w="108" w:type="dxa"/>
            <w:bottom w:w="0" w:type="dxa"/>
            <w:right w:w="108" w:type="dxa"/>
          </w:tblCellMar>
        </w:tblPrEx>
        <w:trPr>
          <w:trHeight w:val="600" w:hRule="atLeast"/>
        </w:trPr>
        <w:tc>
          <w:tcPr>
            <w:tcW w:w="176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分类项目</w:t>
            </w:r>
          </w:p>
        </w:tc>
        <w:tc>
          <w:tcPr>
            <w:tcW w:w="1725"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rPr>
              <w:t>20</w:t>
            </w:r>
            <w:r>
              <w:rPr>
                <w:rFonts w:hint="eastAsia" w:ascii="微软雅黑" w:hAnsi="微软雅黑" w:eastAsia="微软雅黑" w:cs="微软雅黑"/>
                <w:color w:val="000000"/>
                <w:kern w:val="0"/>
                <w:sz w:val="22"/>
                <w:szCs w:val="22"/>
              </w:rPr>
              <w:t>21年</w:t>
            </w:r>
          </w:p>
        </w:tc>
        <w:tc>
          <w:tcPr>
            <w:tcW w:w="1400"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rFonts w:ascii="Tahoma" w:hAnsi="Tahoma" w:eastAsia="Tahoma" w:cs="Tahoma"/>
                <w:color w:val="000000"/>
                <w:sz w:val="22"/>
                <w:szCs w:val="22"/>
              </w:rPr>
            </w:pPr>
            <w:r>
              <w:rPr>
                <w:rFonts w:ascii="Tahoma" w:hAnsi="Tahoma" w:eastAsia="Tahoma" w:cs="Tahoma"/>
                <w:color w:val="000000"/>
                <w:kern w:val="0"/>
                <w:sz w:val="22"/>
                <w:szCs w:val="22"/>
              </w:rPr>
              <w:t>20</w:t>
            </w:r>
            <w:r>
              <w:rPr>
                <w:rFonts w:hint="eastAsia" w:ascii="微软雅黑" w:hAnsi="微软雅黑" w:eastAsia="微软雅黑" w:cs="微软雅黑"/>
                <w:color w:val="000000"/>
                <w:kern w:val="0"/>
                <w:sz w:val="22"/>
                <w:szCs w:val="22"/>
              </w:rPr>
              <w:t>20年</w:t>
            </w:r>
          </w:p>
        </w:tc>
        <w:tc>
          <w:tcPr>
            <w:tcW w:w="1413"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同比增减</w:t>
            </w:r>
          </w:p>
        </w:tc>
        <w:tc>
          <w:tcPr>
            <w:tcW w:w="1862"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同比增长</w:t>
            </w:r>
          </w:p>
        </w:tc>
      </w:tr>
      <w:tr>
        <w:tblPrEx>
          <w:tblCellMar>
            <w:top w:w="0" w:type="dxa"/>
            <w:left w:w="108" w:type="dxa"/>
            <w:bottom w:w="0" w:type="dxa"/>
            <w:right w:w="108" w:type="dxa"/>
          </w:tblCellMar>
        </w:tblPrEx>
        <w:trPr>
          <w:trHeight w:val="600" w:hRule="atLeast"/>
        </w:trPr>
        <w:tc>
          <w:tcPr>
            <w:tcW w:w="176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诊察收入</w:t>
            </w:r>
          </w:p>
        </w:tc>
        <w:tc>
          <w:tcPr>
            <w:tcW w:w="172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1674.74</w:t>
            </w:r>
          </w:p>
        </w:tc>
        <w:tc>
          <w:tcPr>
            <w:tcW w:w="1400"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1606.2</w:t>
            </w:r>
          </w:p>
        </w:tc>
        <w:tc>
          <w:tcPr>
            <w:tcW w:w="1413"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68.54</w:t>
            </w:r>
          </w:p>
        </w:tc>
        <w:tc>
          <w:tcPr>
            <w:tcW w:w="1862"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4.27%</w:t>
            </w:r>
          </w:p>
        </w:tc>
      </w:tr>
      <w:tr>
        <w:tblPrEx>
          <w:tblCellMar>
            <w:top w:w="0" w:type="dxa"/>
            <w:left w:w="108" w:type="dxa"/>
            <w:bottom w:w="0" w:type="dxa"/>
            <w:right w:w="108" w:type="dxa"/>
          </w:tblCellMar>
        </w:tblPrEx>
        <w:trPr>
          <w:trHeight w:val="600" w:hRule="atLeast"/>
        </w:trPr>
        <w:tc>
          <w:tcPr>
            <w:tcW w:w="176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检查收入</w:t>
            </w:r>
          </w:p>
        </w:tc>
        <w:tc>
          <w:tcPr>
            <w:tcW w:w="172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17230.11</w:t>
            </w:r>
          </w:p>
        </w:tc>
        <w:tc>
          <w:tcPr>
            <w:tcW w:w="1400"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15298.75</w:t>
            </w:r>
          </w:p>
        </w:tc>
        <w:tc>
          <w:tcPr>
            <w:tcW w:w="1413"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1931.36</w:t>
            </w:r>
          </w:p>
        </w:tc>
        <w:tc>
          <w:tcPr>
            <w:tcW w:w="1862"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12.62%</w:t>
            </w:r>
          </w:p>
        </w:tc>
      </w:tr>
      <w:tr>
        <w:tblPrEx>
          <w:tblCellMar>
            <w:top w:w="0" w:type="dxa"/>
            <w:left w:w="108" w:type="dxa"/>
            <w:bottom w:w="0" w:type="dxa"/>
            <w:right w:w="108" w:type="dxa"/>
          </w:tblCellMar>
        </w:tblPrEx>
        <w:trPr>
          <w:trHeight w:val="600" w:hRule="atLeast"/>
        </w:trPr>
        <w:tc>
          <w:tcPr>
            <w:tcW w:w="176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化验收入</w:t>
            </w:r>
          </w:p>
        </w:tc>
        <w:tc>
          <w:tcPr>
            <w:tcW w:w="172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19636.74</w:t>
            </w:r>
          </w:p>
        </w:tc>
        <w:tc>
          <w:tcPr>
            <w:tcW w:w="1400"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15706.26</w:t>
            </w:r>
          </w:p>
        </w:tc>
        <w:tc>
          <w:tcPr>
            <w:tcW w:w="1413"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3930.48</w:t>
            </w:r>
          </w:p>
        </w:tc>
        <w:tc>
          <w:tcPr>
            <w:tcW w:w="1862"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25.02%</w:t>
            </w:r>
          </w:p>
        </w:tc>
      </w:tr>
      <w:tr>
        <w:tblPrEx>
          <w:tblCellMar>
            <w:top w:w="0" w:type="dxa"/>
            <w:left w:w="108" w:type="dxa"/>
            <w:bottom w:w="0" w:type="dxa"/>
            <w:right w:w="108" w:type="dxa"/>
          </w:tblCellMar>
        </w:tblPrEx>
        <w:trPr>
          <w:trHeight w:val="600" w:hRule="atLeast"/>
        </w:trPr>
        <w:tc>
          <w:tcPr>
            <w:tcW w:w="176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治疗收入</w:t>
            </w:r>
          </w:p>
        </w:tc>
        <w:tc>
          <w:tcPr>
            <w:tcW w:w="172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12646.86</w:t>
            </w:r>
          </w:p>
        </w:tc>
        <w:tc>
          <w:tcPr>
            <w:tcW w:w="1400"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11820.2</w:t>
            </w:r>
          </w:p>
        </w:tc>
        <w:tc>
          <w:tcPr>
            <w:tcW w:w="1413"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826.66</w:t>
            </w:r>
          </w:p>
        </w:tc>
        <w:tc>
          <w:tcPr>
            <w:tcW w:w="1862"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6.99%</w:t>
            </w:r>
          </w:p>
        </w:tc>
      </w:tr>
      <w:tr>
        <w:tblPrEx>
          <w:tblCellMar>
            <w:top w:w="0" w:type="dxa"/>
            <w:left w:w="108" w:type="dxa"/>
            <w:bottom w:w="0" w:type="dxa"/>
            <w:right w:w="108" w:type="dxa"/>
          </w:tblCellMar>
        </w:tblPrEx>
        <w:trPr>
          <w:trHeight w:val="600" w:hRule="atLeast"/>
        </w:trPr>
        <w:tc>
          <w:tcPr>
            <w:tcW w:w="176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手术收入</w:t>
            </w:r>
          </w:p>
        </w:tc>
        <w:tc>
          <w:tcPr>
            <w:tcW w:w="172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5117.8</w:t>
            </w:r>
          </w:p>
        </w:tc>
        <w:tc>
          <w:tcPr>
            <w:tcW w:w="1400"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4630.89</w:t>
            </w:r>
          </w:p>
        </w:tc>
        <w:tc>
          <w:tcPr>
            <w:tcW w:w="1413"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486.91</w:t>
            </w:r>
          </w:p>
        </w:tc>
        <w:tc>
          <w:tcPr>
            <w:tcW w:w="1862"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10.51%</w:t>
            </w:r>
          </w:p>
        </w:tc>
      </w:tr>
      <w:tr>
        <w:tblPrEx>
          <w:tblCellMar>
            <w:top w:w="0" w:type="dxa"/>
            <w:left w:w="108" w:type="dxa"/>
            <w:bottom w:w="0" w:type="dxa"/>
            <w:right w:w="108" w:type="dxa"/>
          </w:tblCellMar>
        </w:tblPrEx>
        <w:trPr>
          <w:trHeight w:val="600" w:hRule="atLeast"/>
        </w:trPr>
        <w:tc>
          <w:tcPr>
            <w:tcW w:w="176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护理收入</w:t>
            </w:r>
          </w:p>
        </w:tc>
        <w:tc>
          <w:tcPr>
            <w:tcW w:w="172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1540.24</w:t>
            </w:r>
          </w:p>
        </w:tc>
        <w:tc>
          <w:tcPr>
            <w:tcW w:w="1400"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1390.53</w:t>
            </w:r>
          </w:p>
        </w:tc>
        <w:tc>
          <w:tcPr>
            <w:tcW w:w="1413"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149.71</w:t>
            </w:r>
          </w:p>
        </w:tc>
        <w:tc>
          <w:tcPr>
            <w:tcW w:w="1862"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10.77%</w:t>
            </w:r>
          </w:p>
        </w:tc>
      </w:tr>
      <w:tr>
        <w:tblPrEx>
          <w:tblCellMar>
            <w:top w:w="0" w:type="dxa"/>
            <w:left w:w="108" w:type="dxa"/>
            <w:bottom w:w="0" w:type="dxa"/>
            <w:right w:w="108" w:type="dxa"/>
          </w:tblCellMar>
        </w:tblPrEx>
        <w:trPr>
          <w:trHeight w:val="600" w:hRule="atLeast"/>
        </w:trPr>
        <w:tc>
          <w:tcPr>
            <w:tcW w:w="176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耗材收入</w:t>
            </w:r>
          </w:p>
        </w:tc>
        <w:tc>
          <w:tcPr>
            <w:tcW w:w="172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17633.92</w:t>
            </w:r>
          </w:p>
        </w:tc>
        <w:tc>
          <w:tcPr>
            <w:tcW w:w="1400"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15481.52</w:t>
            </w:r>
          </w:p>
        </w:tc>
        <w:tc>
          <w:tcPr>
            <w:tcW w:w="1413"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2152.4</w:t>
            </w:r>
          </w:p>
        </w:tc>
        <w:tc>
          <w:tcPr>
            <w:tcW w:w="1862"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13.90%</w:t>
            </w:r>
          </w:p>
        </w:tc>
      </w:tr>
      <w:tr>
        <w:tblPrEx>
          <w:tblCellMar>
            <w:top w:w="0" w:type="dxa"/>
            <w:left w:w="108" w:type="dxa"/>
            <w:bottom w:w="0" w:type="dxa"/>
            <w:right w:w="108" w:type="dxa"/>
          </w:tblCellMar>
        </w:tblPrEx>
        <w:trPr>
          <w:trHeight w:val="600" w:hRule="atLeast"/>
        </w:trPr>
        <w:tc>
          <w:tcPr>
            <w:tcW w:w="176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药品收入</w:t>
            </w:r>
          </w:p>
        </w:tc>
        <w:tc>
          <w:tcPr>
            <w:tcW w:w="172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60709.96</w:t>
            </w:r>
          </w:p>
        </w:tc>
        <w:tc>
          <w:tcPr>
            <w:tcW w:w="1400"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55765.58</w:t>
            </w:r>
          </w:p>
        </w:tc>
        <w:tc>
          <w:tcPr>
            <w:tcW w:w="1413"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4944.38</w:t>
            </w:r>
          </w:p>
        </w:tc>
        <w:tc>
          <w:tcPr>
            <w:tcW w:w="1862"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8.87%</w:t>
            </w:r>
          </w:p>
        </w:tc>
      </w:tr>
      <w:tr>
        <w:tblPrEx>
          <w:tblCellMar>
            <w:top w:w="0" w:type="dxa"/>
            <w:left w:w="108" w:type="dxa"/>
            <w:bottom w:w="0" w:type="dxa"/>
            <w:right w:w="108" w:type="dxa"/>
          </w:tblCellMar>
        </w:tblPrEx>
        <w:trPr>
          <w:trHeight w:val="600" w:hRule="atLeast"/>
        </w:trPr>
        <w:tc>
          <w:tcPr>
            <w:tcW w:w="176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床位收入</w:t>
            </w:r>
          </w:p>
        </w:tc>
        <w:tc>
          <w:tcPr>
            <w:tcW w:w="172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1875.91</w:t>
            </w:r>
          </w:p>
        </w:tc>
        <w:tc>
          <w:tcPr>
            <w:tcW w:w="1400"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1834.42</w:t>
            </w:r>
          </w:p>
        </w:tc>
        <w:tc>
          <w:tcPr>
            <w:tcW w:w="1413"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41.49</w:t>
            </w:r>
          </w:p>
        </w:tc>
        <w:tc>
          <w:tcPr>
            <w:tcW w:w="1862"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2.26%</w:t>
            </w:r>
          </w:p>
        </w:tc>
      </w:tr>
      <w:tr>
        <w:tblPrEx>
          <w:tblCellMar>
            <w:top w:w="0" w:type="dxa"/>
            <w:left w:w="108" w:type="dxa"/>
            <w:bottom w:w="0" w:type="dxa"/>
            <w:right w:w="108" w:type="dxa"/>
          </w:tblCellMar>
        </w:tblPrEx>
        <w:trPr>
          <w:trHeight w:val="600" w:hRule="atLeast"/>
        </w:trPr>
        <w:tc>
          <w:tcPr>
            <w:tcW w:w="176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其他收入</w:t>
            </w:r>
          </w:p>
        </w:tc>
        <w:tc>
          <w:tcPr>
            <w:tcW w:w="172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3085.86</w:t>
            </w:r>
          </w:p>
        </w:tc>
        <w:tc>
          <w:tcPr>
            <w:tcW w:w="1400"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2733.35</w:t>
            </w:r>
          </w:p>
        </w:tc>
        <w:tc>
          <w:tcPr>
            <w:tcW w:w="1413"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352.51</w:t>
            </w:r>
          </w:p>
        </w:tc>
        <w:tc>
          <w:tcPr>
            <w:tcW w:w="1862"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12.90%</w:t>
            </w:r>
          </w:p>
        </w:tc>
      </w:tr>
      <w:tr>
        <w:tblPrEx>
          <w:tblCellMar>
            <w:top w:w="0" w:type="dxa"/>
            <w:left w:w="108" w:type="dxa"/>
            <w:bottom w:w="0" w:type="dxa"/>
            <w:right w:w="108" w:type="dxa"/>
          </w:tblCellMar>
        </w:tblPrEx>
        <w:trPr>
          <w:trHeight w:val="600" w:hRule="atLeast"/>
        </w:trPr>
        <w:tc>
          <w:tcPr>
            <w:tcW w:w="1762"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合计</w:t>
            </w:r>
          </w:p>
        </w:tc>
        <w:tc>
          <w:tcPr>
            <w:tcW w:w="1725"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141152.14</w:t>
            </w:r>
          </w:p>
        </w:tc>
        <w:tc>
          <w:tcPr>
            <w:tcW w:w="1400"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126267.7</w:t>
            </w:r>
          </w:p>
        </w:tc>
        <w:tc>
          <w:tcPr>
            <w:tcW w:w="1413"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14884.44</w:t>
            </w:r>
          </w:p>
        </w:tc>
        <w:tc>
          <w:tcPr>
            <w:tcW w:w="1862"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11.79%</w:t>
            </w:r>
          </w:p>
        </w:tc>
      </w:tr>
    </w:tbl>
    <w:p>
      <w:pPr>
        <w:ind w:left="420" w:leftChars="200"/>
        <w:rPr>
          <w:sz w:val="28"/>
          <w:szCs w:val="28"/>
        </w:rPr>
      </w:pPr>
    </w:p>
    <w:p>
      <w:pPr>
        <w:ind w:firstLine="420" w:firstLineChars="200"/>
        <w:rPr>
          <w:sz w:val="28"/>
          <w:szCs w:val="28"/>
        </w:rPr>
      </w:pPr>
      <w:r>
        <w:drawing>
          <wp:inline distT="0" distB="0" distL="114300" distR="114300">
            <wp:extent cx="5032375" cy="2719705"/>
            <wp:effectExtent l="4445" t="4445" r="11430" b="1905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560" w:firstLineChars="200"/>
        <w:rPr>
          <w:b/>
          <w:bCs/>
          <w:sz w:val="28"/>
          <w:szCs w:val="28"/>
        </w:rPr>
      </w:pPr>
      <w:r>
        <w:rPr>
          <w:rFonts w:hint="eastAsia"/>
          <w:sz w:val="28"/>
          <w:szCs w:val="28"/>
        </w:rPr>
        <w:t>通过对比可以看出，2021年在诊察收入、治疗收入、床位收入增长比例较低，从而造成医院医疗服务收入占比明显低于全面平均水平。应采取有效措施调整收入结构，进一步严控药品和耗材的使用，开展新技术新项目来增加有效收入。</w:t>
      </w:r>
    </w:p>
    <w:p>
      <w:pPr>
        <w:numPr>
          <w:ilvl w:val="0"/>
          <w:numId w:val="1"/>
        </w:numPr>
        <w:ind w:firstLine="562" w:firstLineChars="200"/>
        <w:rPr>
          <w:b/>
          <w:bCs/>
          <w:sz w:val="28"/>
          <w:szCs w:val="28"/>
        </w:rPr>
      </w:pPr>
      <w:r>
        <w:rPr>
          <w:rFonts w:hint="eastAsia"/>
          <w:b/>
          <w:bCs/>
          <w:sz w:val="28"/>
          <w:szCs w:val="28"/>
        </w:rPr>
        <w:t>支出</w:t>
      </w:r>
    </w:p>
    <w:p>
      <w:pPr>
        <w:ind w:left="420" w:leftChars="200"/>
        <w:rPr>
          <w:b/>
          <w:bCs/>
          <w:sz w:val="28"/>
          <w:szCs w:val="28"/>
        </w:rPr>
      </w:pPr>
      <w:r>
        <w:rPr>
          <w:rFonts w:hint="eastAsia"/>
          <w:b/>
          <w:bCs/>
          <w:sz w:val="28"/>
          <w:szCs w:val="28"/>
        </w:rPr>
        <w:t xml:space="preserve">                                               </w:t>
      </w:r>
    </w:p>
    <w:p>
      <w:pPr>
        <w:ind w:left="420" w:leftChars="200"/>
        <w:rPr>
          <w:b/>
          <w:bCs/>
          <w:sz w:val="28"/>
          <w:szCs w:val="28"/>
        </w:rPr>
      </w:pPr>
    </w:p>
    <w:p>
      <w:pPr>
        <w:ind w:left="420" w:leftChars="200" w:firstLine="5903" w:firstLineChars="2100"/>
        <w:rPr>
          <w:b/>
          <w:bCs/>
          <w:sz w:val="28"/>
          <w:szCs w:val="28"/>
        </w:rPr>
      </w:pPr>
      <w:r>
        <w:rPr>
          <w:rFonts w:hint="eastAsia"/>
          <w:b/>
          <w:bCs/>
          <w:sz w:val="28"/>
          <w:szCs w:val="28"/>
        </w:rPr>
        <w:t xml:space="preserve">  单位：万元</w:t>
      </w:r>
    </w:p>
    <w:tbl>
      <w:tblPr>
        <w:tblStyle w:val="5"/>
        <w:tblW w:w="8900" w:type="dxa"/>
        <w:tblInd w:w="93" w:type="dxa"/>
        <w:tblLayout w:type="fixed"/>
        <w:tblCellMar>
          <w:top w:w="0" w:type="dxa"/>
          <w:left w:w="108" w:type="dxa"/>
          <w:bottom w:w="0" w:type="dxa"/>
          <w:right w:w="108" w:type="dxa"/>
        </w:tblCellMar>
      </w:tblPr>
      <w:tblGrid>
        <w:gridCol w:w="695"/>
        <w:gridCol w:w="1516"/>
        <w:gridCol w:w="1313"/>
        <w:gridCol w:w="1392"/>
        <w:gridCol w:w="1196"/>
        <w:gridCol w:w="1238"/>
        <w:gridCol w:w="1550"/>
      </w:tblGrid>
      <w:tr>
        <w:tblPrEx>
          <w:tblCellMar>
            <w:top w:w="0" w:type="dxa"/>
            <w:left w:w="108" w:type="dxa"/>
            <w:bottom w:w="0" w:type="dxa"/>
            <w:right w:w="108" w:type="dxa"/>
          </w:tblCellMar>
        </w:tblPrEx>
        <w:trPr>
          <w:trHeight w:val="903" w:hRule="atLeast"/>
        </w:trPr>
        <w:tc>
          <w:tcPr>
            <w:tcW w:w="69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序号</w:t>
            </w:r>
          </w:p>
        </w:tc>
        <w:tc>
          <w:tcPr>
            <w:tcW w:w="1516"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明细项目</w:t>
            </w:r>
          </w:p>
        </w:tc>
        <w:tc>
          <w:tcPr>
            <w:tcW w:w="1313"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2021年</w:t>
            </w:r>
          </w:p>
        </w:tc>
        <w:tc>
          <w:tcPr>
            <w:tcW w:w="1392"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2020年</w:t>
            </w:r>
          </w:p>
        </w:tc>
        <w:tc>
          <w:tcPr>
            <w:tcW w:w="1196" w:type="dxa"/>
            <w:tcBorders>
              <w:top w:val="single" w:color="000000" w:sz="8" w:space="0"/>
              <w:left w:val="nil"/>
              <w:bottom w:val="single" w:color="000000" w:sz="8" w:space="0"/>
              <w:right w:val="single" w:color="000000" w:sz="8" w:space="0"/>
            </w:tcBorders>
            <w:shd w:val="clear" w:color="auto" w:fill="auto"/>
            <w:vAlign w:val="center"/>
          </w:tcPr>
          <w:p>
            <w:pPr>
              <w:widowControl/>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同比增减</w:t>
            </w:r>
          </w:p>
        </w:tc>
        <w:tc>
          <w:tcPr>
            <w:tcW w:w="1238"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top"/>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同比增长</w:t>
            </w:r>
          </w:p>
        </w:tc>
        <w:tc>
          <w:tcPr>
            <w:tcW w:w="155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占医疗业务支出比例</w:t>
            </w:r>
          </w:p>
        </w:tc>
      </w:tr>
      <w:tr>
        <w:tblPrEx>
          <w:tblCellMar>
            <w:top w:w="0" w:type="dxa"/>
            <w:left w:w="108" w:type="dxa"/>
            <w:bottom w:w="0" w:type="dxa"/>
            <w:right w:w="108" w:type="dxa"/>
          </w:tblCellMar>
        </w:tblPrEx>
        <w:trPr>
          <w:trHeight w:val="540" w:hRule="atLeast"/>
        </w:trPr>
        <w:tc>
          <w:tcPr>
            <w:tcW w:w="695" w:type="dxa"/>
            <w:tcBorders>
              <w:top w:val="nil"/>
              <w:left w:val="single" w:color="000000" w:sz="8" w:space="0"/>
              <w:bottom w:val="single" w:color="000000" w:sz="8" w:space="0"/>
              <w:right w:val="single" w:color="000000" w:sz="8" w:space="0"/>
            </w:tcBorders>
            <w:shd w:val="clear" w:color="auto" w:fill="auto"/>
            <w:vAlign w:val="bottom"/>
          </w:tcPr>
          <w:p>
            <w:pPr>
              <w:widowControl/>
              <w:jc w:val="center"/>
              <w:textAlignment w:val="bottom"/>
              <w:rPr>
                <w:rFonts w:ascii="Tahoma" w:hAnsi="Tahoma" w:eastAsia="Tahoma" w:cs="Tahoma"/>
                <w:b/>
                <w:bCs/>
                <w:color w:val="595959"/>
                <w:szCs w:val="21"/>
              </w:rPr>
            </w:pPr>
            <w:r>
              <w:rPr>
                <w:rFonts w:ascii="Tahoma" w:hAnsi="Tahoma" w:eastAsia="Tahoma" w:cs="Tahoma"/>
                <w:b/>
                <w:bCs/>
                <w:color w:val="595959"/>
                <w:kern w:val="0"/>
                <w:szCs w:val="21"/>
              </w:rPr>
              <w:t>1</w:t>
            </w:r>
          </w:p>
        </w:tc>
        <w:tc>
          <w:tcPr>
            <w:tcW w:w="151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人员经费</w:t>
            </w:r>
          </w:p>
        </w:tc>
        <w:tc>
          <w:tcPr>
            <w:tcW w:w="1313"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45653.09</w:t>
            </w:r>
          </w:p>
        </w:tc>
        <w:tc>
          <w:tcPr>
            <w:tcW w:w="1392"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42976.24</w:t>
            </w:r>
          </w:p>
        </w:tc>
        <w:tc>
          <w:tcPr>
            <w:tcW w:w="119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2676.85</w:t>
            </w:r>
          </w:p>
        </w:tc>
        <w:tc>
          <w:tcPr>
            <w:tcW w:w="1238"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6.23%</w:t>
            </w:r>
          </w:p>
        </w:tc>
        <w:tc>
          <w:tcPr>
            <w:tcW w:w="1550" w:type="dxa"/>
            <w:tcBorders>
              <w:top w:val="nil"/>
              <w:left w:val="nil"/>
              <w:bottom w:val="single" w:color="000000" w:sz="8" w:space="0"/>
              <w:right w:val="single" w:color="000000" w:sz="8" w:space="0"/>
            </w:tcBorders>
            <w:shd w:val="clear" w:color="auto" w:fill="auto"/>
            <w:vAlign w:val="center"/>
          </w:tcPr>
          <w:p>
            <w:pPr>
              <w:widowControl/>
              <w:jc w:val="center"/>
              <w:textAlignment w:val="bottom"/>
              <w:rPr>
                <w:rFonts w:ascii="微软雅黑" w:hAnsi="微软雅黑" w:eastAsia="微软雅黑" w:cs="微软雅黑"/>
                <w:b/>
                <w:bCs/>
                <w:color w:val="595959"/>
                <w:kern w:val="0"/>
                <w:szCs w:val="21"/>
              </w:rPr>
            </w:pPr>
            <w:r>
              <w:rPr>
                <w:rFonts w:hint="eastAsia" w:ascii="微软雅黑" w:hAnsi="微软雅黑" w:eastAsia="微软雅黑" w:cs="微软雅黑"/>
                <w:b/>
                <w:bCs/>
                <w:color w:val="595959"/>
                <w:kern w:val="0"/>
                <w:szCs w:val="21"/>
              </w:rPr>
              <w:t>31.10%</w:t>
            </w:r>
          </w:p>
        </w:tc>
      </w:tr>
      <w:tr>
        <w:tblPrEx>
          <w:tblCellMar>
            <w:top w:w="0" w:type="dxa"/>
            <w:left w:w="108" w:type="dxa"/>
            <w:bottom w:w="0" w:type="dxa"/>
            <w:right w:w="108" w:type="dxa"/>
          </w:tblCellMar>
        </w:tblPrEx>
        <w:trPr>
          <w:trHeight w:val="540" w:hRule="atLeast"/>
        </w:trPr>
        <w:tc>
          <w:tcPr>
            <w:tcW w:w="695" w:type="dxa"/>
            <w:tcBorders>
              <w:top w:val="nil"/>
              <w:left w:val="single" w:color="000000" w:sz="8" w:space="0"/>
              <w:bottom w:val="single" w:color="000000" w:sz="8" w:space="0"/>
              <w:right w:val="single" w:color="000000" w:sz="8" w:space="0"/>
            </w:tcBorders>
            <w:shd w:val="clear" w:color="auto" w:fill="auto"/>
            <w:vAlign w:val="bottom"/>
          </w:tcPr>
          <w:p>
            <w:pPr>
              <w:widowControl/>
              <w:jc w:val="center"/>
              <w:textAlignment w:val="bottom"/>
              <w:rPr>
                <w:rFonts w:ascii="Tahoma" w:hAnsi="Tahoma" w:eastAsia="Tahoma" w:cs="Tahoma"/>
                <w:b/>
                <w:bCs/>
                <w:color w:val="595959"/>
                <w:szCs w:val="21"/>
              </w:rPr>
            </w:pPr>
            <w:r>
              <w:rPr>
                <w:rFonts w:ascii="Tahoma" w:hAnsi="Tahoma" w:eastAsia="Tahoma" w:cs="Tahoma"/>
                <w:b/>
                <w:bCs/>
                <w:color w:val="595959"/>
                <w:kern w:val="0"/>
                <w:szCs w:val="21"/>
              </w:rPr>
              <w:t>2</w:t>
            </w:r>
          </w:p>
        </w:tc>
        <w:tc>
          <w:tcPr>
            <w:tcW w:w="151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卫生材料费</w:t>
            </w:r>
          </w:p>
        </w:tc>
        <w:tc>
          <w:tcPr>
            <w:tcW w:w="1313"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28393.87</w:t>
            </w:r>
          </w:p>
        </w:tc>
        <w:tc>
          <w:tcPr>
            <w:tcW w:w="1392"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23280.68</w:t>
            </w:r>
          </w:p>
        </w:tc>
        <w:tc>
          <w:tcPr>
            <w:tcW w:w="119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5113.19</w:t>
            </w:r>
          </w:p>
        </w:tc>
        <w:tc>
          <w:tcPr>
            <w:tcW w:w="1238"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21.96%</w:t>
            </w:r>
          </w:p>
        </w:tc>
        <w:tc>
          <w:tcPr>
            <w:tcW w:w="1550" w:type="dxa"/>
            <w:tcBorders>
              <w:top w:val="nil"/>
              <w:left w:val="nil"/>
              <w:bottom w:val="single" w:color="000000" w:sz="8" w:space="0"/>
              <w:right w:val="single" w:color="000000" w:sz="8" w:space="0"/>
            </w:tcBorders>
            <w:shd w:val="clear" w:color="auto" w:fill="auto"/>
            <w:vAlign w:val="center"/>
          </w:tcPr>
          <w:p>
            <w:pPr>
              <w:widowControl/>
              <w:jc w:val="center"/>
              <w:textAlignment w:val="bottom"/>
              <w:rPr>
                <w:rFonts w:ascii="微软雅黑" w:hAnsi="微软雅黑" w:eastAsia="微软雅黑" w:cs="微软雅黑"/>
                <w:b/>
                <w:bCs/>
                <w:color w:val="595959"/>
                <w:kern w:val="0"/>
                <w:szCs w:val="21"/>
              </w:rPr>
            </w:pPr>
            <w:r>
              <w:rPr>
                <w:rFonts w:hint="eastAsia" w:ascii="微软雅黑" w:hAnsi="微软雅黑" w:eastAsia="微软雅黑" w:cs="微软雅黑"/>
                <w:b/>
                <w:bCs/>
                <w:color w:val="595959"/>
                <w:kern w:val="0"/>
                <w:szCs w:val="21"/>
              </w:rPr>
              <w:t>19.35%</w:t>
            </w:r>
          </w:p>
        </w:tc>
      </w:tr>
      <w:tr>
        <w:tblPrEx>
          <w:tblCellMar>
            <w:top w:w="0" w:type="dxa"/>
            <w:left w:w="108" w:type="dxa"/>
            <w:bottom w:w="0" w:type="dxa"/>
            <w:right w:w="108" w:type="dxa"/>
          </w:tblCellMar>
        </w:tblPrEx>
        <w:trPr>
          <w:trHeight w:val="540" w:hRule="atLeast"/>
        </w:trPr>
        <w:tc>
          <w:tcPr>
            <w:tcW w:w="695" w:type="dxa"/>
            <w:tcBorders>
              <w:top w:val="nil"/>
              <w:left w:val="single" w:color="000000" w:sz="8" w:space="0"/>
              <w:bottom w:val="single" w:color="000000" w:sz="8" w:space="0"/>
              <w:right w:val="single" w:color="000000" w:sz="8" w:space="0"/>
            </w:tcBorders>
            <w:shd w:val="clear" w:color="auto" w:fill="auto"/>
            <w:vAlign w:val="bottom"/>
          </w:tcPr>
          <w:p>
            <w:pPr>
              <w:widowControl/>
              <w:jc w:val="center"/>
              <w:textAlignment w:val="bottom"/>
              <w:rPr>
                <w:rFonts w:ascii="Tahoma" w:hAnsi="Tahoma" w:eastAsia="Tahoma" w:cs="Tahoma"/>
                <w:b/>
                <w:bCs/>
                <w:color w:val="595959"/>
                <w:szCs w:val="21"/>
              </w:rPr>
            </w:pPr>
            <w:r>
              <w:rPr>
                <w:rFonts w:ascii="Tahoma" w:hAnsi="Tahoma" w:eastAsia="Tahoma" w:cs="Tahoma"/>
                <w:b/>
                <w:bCs/>
                <w:color w:val="595959"/>
                <w:kern w:val="0"/>
                <w:szCs w:val="21"/>
              </w:rPr>
              <w:t>3</w:t>
            </w:r>
          </w:p>
        </w:tc>
        <w:tc>
          <w:tcPr>
            <w:tcW w:w="151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药品支出</w:t>
            </w:r>
          </w:p>
        </w:tc>
        <w:tc>
          <w:tcPr>
            <w:tcW w:w="1313"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60603.87</w:t>
            </w:r>
          </w:p>
        </w:tc>
        <w:tc>
          <w:tcPr>
            <w:tcW w:w="1392"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55606.35</w:t>
            </w:r>
          </w:p>
        </w:tc>
        <w:tc>
          <w:tcPr>
            <w:tcW w:w="119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4997.52</w:t>
            </w:r>
          </w:p>
        </w:tc>
        <w:tc>
          <w:tcPr>
            <w:tcW w:w="1238"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8.99%</w:t>
            </w:r>
          </w:p>
        </w:tc>
        <w:tc>
          <w:tcPr>
            <w:tcW w:w="1550" w:type="dxa"/>
            <w:tcBorders>
              <w:top w:val="nil"/>
              <w:left w:val="nil"/>
              <w:bottom w:val="single" w:color="000000" w:sz="8" w:space="0"/>
              <w:right w:val="single" w:color="000000" w:sz="8" w:space="0"/>
            </w:tcBorders>
            <w:shd w:val="clear" w:color="auto" w:fill="auto"/>
            <w:vAlign w:val="center"/>
          </w:tcPr>
          <w:p>
            <w:pPr>
              <w:widowControl/>
              <w:jc w:val="center"/>
              <w:textAlignment w:val="bottom"/>
              <w:rPr>
                <w:rFonts w:ascii="微软雅黑" w:hAnsi="微软雅黑" w:eastAsia="微软雅黑" w:cs="微软雅黑"/>
                <w:b/>
                <w:bCs/>
                <w:color w:val="595959"/>
                <w:kern w:val="0"/>
                <w:szCs w:val="21"/>
              </w:rPr>
            </w:pPr>
            <w:r>
              <w:rPr>
                <w:rFonts w:hint="eastAsia" w:ascii="微软雅黑" w:hAnsi="微软雅黑" w:eastAsia="微软雅黑" w:cs="微软雅黑"/>
                <w:b/>
                <w:bCs/>
                <w:color w:val="595959"/>
                <w:kern w:val="0"/>
                <w:szCs w:val="21"/>
              </w:rPr>
              <w:t>41.29%</w:t>
            </w:r>
          </w:p>
        </w:tc>
      </w:tr>
      <w:tr>
        <w:tblPrEx>
          <w:tblCellMar>
            <w:top w:w="0" w:type="dxa"/>
            <w:left w:w="108" w:type="dxa"/>
            <w:bottom w:w="0" w:type="dxa"/>
            <w:right w:w="108" w:type="dxa"/>
          </w:tblCellMar>
        </w:tblPrEx>
        <w:trPr>
          <w:trHeight w:val="540" w:hRule="atLeast"/>
        </w:trPr>
        <w:tc>
          <w:tcPr>
            <w:tcW w:w="695" w:type="dxa"/>
            <w:tcBorders>
              <w:top w:val="nil"/>
              <w:left w:val="single" w:color="000000" w:sz="8" w:space="0"/>
              <w:bottom w:val="single" w:color="000000" w:sz="8" w:space="0"/>
              <w:right w:val="single" w:color="000000" w:sz="8" w:space="0"/>
            </w:tcBorders>
            <w:shd w:val="clear" w:color="auto" w:fill="auto"/>
            <w:vAlign w:val="bottom"/>
          </w:tcPr>
          <w:p>
            <w:pPr>
              <w:widowControl/>
              <w:jc w:val="center"/>
              <w:textAlignment w:val="bottom"/>
              <w:rPr>
                <w:rFonts w:ascii="Tahoma" w:hAnsi="Tahoma" w:eastAsia="Tahoma" w:cs="Tahoma"/>
                <w:b/>
                <w:bCs/>
                <w:color w:val="595959"/>
                <w:szCs w:val="21"/>
              </w:rPr>
            </w:pPr>
            <w:r>
              <w:rPr>
                <w:rFonts w:ascii="Tahoma" w:hAnsi="Tahoma" w:eastAsia="Tahoma" w:cs="Tahoma"/>
                <w:b/>
                <w:bCs/>
                <w:color w:val="595959"/>
                <w:kern w:val="0"/>
                <w:szCs w:val="21"/>
              </w:rPr>
              <w:t>4</w:t>
            </w:r>
          </w:p>
        </w:tc>
        <w:tc>
          <w:tcPr>
            <w:tcW w:w="151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固定资产折旧</w:t>
            </w:r>
          </w:p>
        </w:tc>
        <w:tc>
          <w:tcPr>
            <w:tcW w:w="1313"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4411.91</w:t>
            </w:r>
          </w:p>
        </w:tc>
        <w:tc>
          <w:tcPr>
            <w:tcW w:w="1392"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4917.24</w:t>
            </w:r>
          </w:p>
        </w:tc>
        <w:tc>
          <w:tcPr>
            <w:tcW w:w="119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-505.33</w:t>
            </w:r>
          </w:p>
        </w:tc>
        <w:tc>
          <w:tcPr>
            <w:tcW w:w="1238"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-10.28%</w:t>
            </w:r>
          </w:p>
        </w:tc>
        <w:tc>
          <w:tcPr>
            <w:tcW w:w="1550" w:type="dxa"/>
            <w:tcBorders>
              <w:top w:val="nil"/>
              <w:left w:val="nil"/>
              <w:bottom w:val="single" w:color="000000" w:sz="8" w:space="0"/>
              <w:right w:val="single" w:color="000000" w:sz="8" w:space="0"/>
            </w:tcBorders>
            <w:shd w:val="clear" w:color="auto" w:fill="auto"/>
            <w:vAlign w:val="center"/>
          </w:tcPr>
          <w:p>
            <w:pPr>
              <w:widowControl/>
              <w:jc w:val="center"/>
              <w:textAlignment w:val="bottom"/>
              <w:rPr>
                <w:rFonts w:ascii="微软雅黑" w:hAnsi="微软雅黑" w:eastAsia="微软雅黑" w:cs="微软雅黑"/>
                <w:b/>
                <w:bCs/>
                <w:color w:val="595959"/>
                <w:kern w:val="0"/>
                <w:szCs w:val="21"/>
              </w:rPr>
            </w:pPr>
            <w:r>
              <w:rPr>
                <w:rFonts w:hint="eastAsia" w:ascii="微软雅黑" w:hAnsi="微软雅黑" w:eastAsia="微软雅黑" w:cs="微软雅黑"/>
                <w:b/>
                <w:bCs/>
                <w:color w:val="595959"/>
                <w:kern w:val="0"/>
                <w:szCs w:val="21"/>
              </w:rPr>
              <w:t>3.01%</w:t>
            </w:r>
          </w:p>
        </w:tc>
      </w:tr>
      <w:tr>
        <w:tblPrEx>
          <w:tblCellMar>
            <w:top w:w="0" w:type="dxa"/>
            <w:left w:w="108" w:type="dxa"/>
            <w:bottom w:w="0" w:type="dxa"/>
            <w:right w:w="108" w:type="dxa"/>
          </w:tblCellMar>
        </w:tblPrEx>
        <w:trPr>
          <w:trHeight w:val="540" w:hRule="atLeast"/>
        </w:trPr>
        <w:tc>
          <w:tcPr>
            <w:tcW w:w="695" w:type="dxa"/>
            <w:tcBorders>
              <w:top w:val="nil"/>
              <w:left w:val="single" w:color="000000" w:sz="8" w:space="0"/>
              <w:bottom w:val="single" w:color="000000" w:sz="8" w:space="0"/>
              <w:right w:val="single" w:color="000000" w:sz="8" w:space="0"/>
            </w:tcBorders>
            <w:shd w:val="clear" w:color="auto" w:fill="auto"/>
            <w:vAlign w:val="bottom"/>
          </w:tcPr>
          <w:p>
            <w:pPr>
              <w:widowControl/>
              <w:jc w:val="center"/>
              <w:textAlignment w:val="bottom"/>
              <w:rPr>
                <w:rFonts w:ascii="Tahoma" w:hAnsi="Tahoma" w:eastAsia="Tahoma" w:cs="Tahoma"/>
                <w:b/>
                <w:bCs/>
                <w:color w:val="595959"/>
                <w:szCs w:val="21"/>
              </w:rPr>
            </w:pPr>
            <w:r>
              <w:rPr>
                <w:rFonts w:ascii="Tahoma" w:hAnsi="Tahoma" w:eastAsia="Tahoma" w:cs="Tahoma"/>
                <w:b/>
                <w:bCs/>
                <w:color w:val="595959"/>
                <w:kern w:val="0"/>
                <w:szCs w:val="21"/>
              </w:rPr>
              <w:t>5</w:t>
            </w:r>
          </w:p>
        </w:tc>
        <w:tc>
          <w:tcPr>
            <w:tcW w:w="151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无形资产摊销</w:t>
            </w:r>
          </w:p>
        </w:tc>
        <w:tc>
          <w:tcPr>
            <w:tcW w:w="1313"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136.38</w:t>
            </w:r>
          </w:p>
        </w:tc>
        <w:tc>
          <w:tcPr>
            <w:tcW w:w="1392"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117.82</w:t>
            </w:r>
          </w:p>
        </w:tc>
        <w:tc>
          <w:tcPr>
            <w:tcW w:w="119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18.56</w:t>
            </w:r>
          </w:p>
        </w:tc>
        <w:tc>
          <w:tcPr>
            <w:tcW w:w="1238"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15.75%</w:t>
            </w:r>
          </w:p>
        </w:tc>
        <w:tc>
          <w:tcPr>
            <w:tcW w:w="1550" w:type="dxa"/>
            <w:tcBorders>
              <w:top w:val="nil"/>
              <w:left w:val="nil"/>
              <w:bottom w:val="single" w:color="000000" w:sz="8" w:space="0"/>
              <w:right w:val="single" w:color="000000" w:sz="8" w:space="0"/>
            </w:tcBorders>
            <w:shd w:val="clear" w:color="auto" w:fill="auto"/>
            <w:vAlign w:val="center"/>
          </w:tcPr>
          <w:p>
            <w:pPr>
              <w:widowControl/>
              <w:jc w:val="center"/>
              <w:textAlignment w:val="bottom"/>
              <w:rPr>
                <w:rFonts w:ascii="微软雅黑" w:hAnsi="微软雅黑" w:eastAsia="微软雅黑" w:cs="微软雅黑"/>
                <w:b/>
                <w:bCs/>
                <w:color w:val="595959"/>
                <w:kern w:val="0"/>
                <w:szCs w:val="21"/>
              </w:rPr>
            </w:pPr>
            <w:r>
              <w:rPr>
                <w:rFonts w:hint="eastAsia" w:ascii="微软雅黑" w:hAnsi="微软雅黑" w:eastAsia="微软雅黑" w:cs="微软雅黑"/>
                <w:b/>
                <w:bCs/>
                <w:color w:val="595959"/>
                <w:kern w:val="0"/>
                <w:szCs w:val="21"/>
              </w:rPr>
              <w:t>0.09%</w:t>
            </w:r>
          </w:p>
        </w:tc>
      </w:tr>
      <w:tr>
        <w:tblPrEx>
          <w:tblCellMar>
            <w:top w:w="0" w:type="dxa"/>
            <w:left w:w="108" w:type="dxa"/>
            <w:bottom w:w="0" w:type="dxa"/>
            <w:right w:w="108" w:type="dxa"/>
          </w:tblCellMar>
        </w:tblPrEx>
        <w:trPr>
          <w:trHeight w:val="540" w:hRule="atLeast"/>
        </w:trPr>
        <w:tc>
          <w:tcPr>
            <w:tcW w:w="695" w:type="dxa"/>
            <w:tcBorders>
              <w:top w:val="nil"/>
              <w:left w:val="single" w:color="000000" w:sz="8" w:space="0"/>
              <w:bottom w:val="single" w:color="000000" w:sz="8" w:space="0"/>
              <w:right w:val="single" w:color="000000" w:sz="8" w:space="0"/>
            </w:tcBorders>
            <w:shd w:val="clear" w:color="auto" w:fill="auto"/>
            <w:vAlign w:val="bottom"/>
          </w:tcPr>
          <w:p>
            <w:pPr>
              <w:widowControl/>
              <w:jc w:val="center"/>
              <w:textAlignment w:val="bottom"/>
              <w:rPr>
                <w:rFonts w:ascii="Tahoma" w:hAnsi="Tahoma" w:eastAsia="Tahoma" w:cs="Tahoma"/>
                <w:b/>
                <w:bCs/>
                <w:color w:val="595959"/>
                <w:szCs w:val="21"/>
              </w:rPr>
            </w:pPr>
            <w:r>
              <w:rPr>
                <w:rFonts w:ascii="Tahoma" w:hAnsi="Tahoma" w:eastAsia="Tahoma" w:cs="Tahoma"/>
                <w:b/>
                <w:bCs/>
                <w:color w:val="595959"/>
                <w:kern w:val="0"/>
                <w:szCs w:val="21"/>
              </w:rPr>
              <w:t>6</w:t>
            </w:r>
          </w:p>
        </w:tc>
        <w:tc>
          <w:tcPr>
            <w:tcW w:w="151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医疗风险金</w:t>
            </w:r>
          </w:p>
        </w:tc>
        <w:tc>
          <w:tcPr>
            <w:tcW w:w="1313"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423.74</w:t>
            </w:r>
          </w:p>
        </w:tc>
        <w:tc>
          <w:tcPr>
            <w:tcW w:w="1392"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378.88</w:t>
            </w:r>
          </w:p>
        </w:tc>
        <w:tc>
          <w:tcPr>
            <w:tcW w:w="119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44.86</w:t>
            </w:r>
          </w:p>
        </w:tc>
        <w:tc>
          <w:tcPr>
            <w:tcW w:w="1238"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11.84%</w:t>
            </w:r>
          </w:p>
        </w:tc>
        <w:tc>
          <w:tcPr>
            <w:tcW w:w="1550" w:type="dxa"/>
            <w:tcBorders>
              <w:top w:val="nil"/>
              <w:left w:val="nil"/>
              <w:bottom w:val="single" w:color="000000" w:sz="8" w:space="0"/>
              <w:right w:val="single" w:color="000000" w:sz="8" w:space="0"/>
            </w:tcBorders>
            <w:shd w:val="clear" w:color="auto" w:fill="auto"/>
            <w:vAlign w:val="center"/>
          </w:tcPr>
          <w:p>
            <w:pPr>
              <w:widowControl/>
              <w:jc w:val="center"/>
              <w:textAlignment w:val="bottom"/>
              <w:rPr>
                <w:rFonts w:ascii="微软雅黑" w:hAnsi="微软雅黑" w:eastAsia="微软雅黑" w:cs="微软雅黑"/>
                <w:b/>
                <w:bCs/>
                <w:color w:val="595959"/>
                <w:kern w:val="0"/>
                <w:szCs w:val="21"/>
              </w:rPr>
            </w:pPr>
            <w:r>
              <w:rPr>
                <w:rFonts w:hint="eastAsia" w:ascii="微软雅黑" w:hAnsi="微软雅黑" w:eastAsia="微软雅黑" w:cs="微软雅黑"/>
                <w:b/>
                <w:bCs/>
                <w:color w:val="595959"/>
                <w:kern w:val="0"/>
                <w:szCs w:val="21"/>
              </w:rPr>
              <w:t>0.29%</w:t>
            </w:r>
          </w:p>
        </w:tc>
      </w:tr>
      <w:tr>
        <w:tblPrEx>
          <w:tblCellMar>
            <w:top w:w="0" w:type="dxa"/>
            <w:left w:w="108" w:type="dxa"/>
            <w:bottom w:w="0" w:type="dxa"/>
            <w:right w:w="108" w:type="dxa"/>
          </w:tblCellMar>
        </w:tblPrEx>
        <w:trPr>
          <w:trHeight w:val="540" w:hRule="atLeast"/>
        </w:trPr>
        <w:tc>
          <w:tcPr>
            <w:tcW w:w="695" w:type="dxa"/>
            <w:tcBorders>
              <w:top w:val="nil"/>
              <w:left w:val="single" w:color="000000" w:sz="8" w:space="0"/>
              <w:bottom w:val="single" w:color="000000" w:sz="8" w:space="0"/>
              <w:right w:val="single" w:color="000000" w:sz="8" w:space="0"/>
            </w:tcBorders>
            <w:shd w:val="clear" w:color="auto" w:fill="auto"/>
            <w:vAlign w:val="bottom"/>
          </w:tcPr>
          <w:p>
            <w:pPr>
              <w:widowControl/>
              <w:jc w:val="center"/>
              <w:textAlignment w:val="bottom"/>
              <w:rPr>
                <w:rFonts w:ascii="Tahoma" w:hAnsi="Tahoma" w:eastAsia="Tahoma" w:cs="Tahoma"/>
                <w:b/>
                <w:bCs/>
                <w:color w:val="595959"/>
                <w:szCs w:val="21"/>
              </w:rPr>
            </w:pPr>
            <w:r>
              <w:rPr>
                <w:rFonts w:ascii="Tahoma" w:hAnsi="Tahoma" w:eastAsia="Tahoma" w:cs="Tahoma"/>
                <w:b/>
                <w:bCs/>
                <w:color w:val="595959"/>
                <w:kern w:val="0"/>
                <w:szCs w:val="21"/>
              </w:rPr>
              <w:t>7</w:t>
            </w:r>
          </w:p>
        </w:tc>
        <w:tc>
          <w:tcPr>
            <w:tcW w:w="151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办公费</w:t>
            </w:r>
          </w:p>
        </w:tc>
        <w:tc>
          <w:tcPr>
            <w:tcW w:w="1313"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224</w:t>
            </w:r>
          </w:p>
        </w:tc>
        <w:tc>
          <w:tcPr>
            <w:tcW w:w="1392"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313.8</w:t>
            </w:r>
          </w:p>
        </w:tc>
        <w:tc>
          <w:tcPr>
            <w:tcW w:w="119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-89.8</w:t>
            </w:r>
          </w:p>
        </w:tc>
        <w:tc>
          <w:tcPr>
            <w:tcW w:w="1238"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-28.62%</w:t>
            </w:r>
          </w:p>
        </w:tc>
        <w:tc>
          <w:tcPr>
            <w:tcW w:w="1550" w:type="dxa"/>
            <w:tcBorders>
              <w:top w:val="nil"/>
              <w:left w:val="nil"/>
              <w:bottom w:val="single" w:color="000000" w:sz="8" w:space="0"/>
              <w:right w:val="single" w:color="000000" w:sz="8" w:space="0"/>
            </w:tcBorders>
            <w:shd w:val="clear" w:color="auto" w:fill="auto"/>
            <w:vAlign w:val="center"/>
          </w:tcPr>
          <w:p>
            <w:pPr>
              <w:widowControl/>
              <w:jc w:val="center"/>
              <w:textAlignment w:val="bottom"/>
              <w:rPr>
                <w:rFonts w:ascii="微软雅黑" w:hAnsi="微软雅黑" w:eastAsia="微软雅黑" w:cs="微软雅黑"/>
                <w:b/>
                <w:bCs/>
                <w:color w:val="595959"/>
                <w:kern w:val="0"/>
                <w:szCs w:val="21"/>
              </w:rPr>
            </w:pPr>
            <w:r>
              <w:rPr>
                <w:rFonts w:hint="eastAsia" w:ascii="微软雅黑" w:hAnsi="微软雅黑" w:eastAsia="微软雅黑" w:cs="微软雅黑"/>
                <w:b/>
                <w:bCs/>
                <w:color w:val="595959"/>
                <w:kern w:val="0"/>
                <w:szCs w:val="21"/>
              </w:rPr>
              <w:t>0.15%</w:t>
            </w:r>
          </w:p>
        </w:tc>
      </w:tr>
      <w:tr>
        <w:tblPrEx>
          <w:tblCellMar>
            <w:top w:w="0" w:type="dxa"/>
            <w:left w:w="108" w:type="dxa"/>
            <w:bottom w:w="0" w:type="dxa"/>
            <w:right w:w="108" w:type="dxa"/>
          </w:tblCellMar>
        </w:tblPrEx>
        <w:trPr>
          <w:trHeight w:val="540" w:hRule="atLeast"/>
        </w:trPr>
        <w:tc>
          <w:tcPr>
            <w:tcW w:w="695" w:type="dxa"/>
            <w:tcBorders>
              <w:top w:val="nil"/>
              <w:left w:val="single" w:color="000000" w:sz="8" w:space="0"/>
              <w:bottom w:val="single" w:color="000000" w:sz="8" w:space="0"/>
              <w:right w:val="single" w:color="000000" w:sz="8" w:space="0"/>
            </w:tcBorders>
            <w:shd w:val="clear" w:color="auto" w:fill="auto"/>
            <w:vAlign w:val="bottom"/>
          </w:tcPr>
          <w:p>
            <w:pPr>
              <w:widowControl/>
              <w:jc w:val="center"/>
              <w:textAlignment w:val="bottom"/>
              <w:rPr>
                <w:rFonts w:ascii="Tahoma" w:hAnsi="Tahoma" w:eastAsia="Tahoma" w:cs="Tahoma"/>
                <w:b/>
                <w:bCs/>
                <w:color w:val="595959"/>
                <w:szCs w:val="21"/>
              </w:rPr>
            </w:pPr>
            <w:r>
              <w:rPr>
                <w:rFonts w:ascii="Tahoma" w:hAnsi="Tahoma" w:eastAsia="Tahoma" w:cs="Tahoma"/>
                <w:b/>
                <w:bCs/>
                <w:color w:val="595959"/>
                <w:kern w:val="0"/>
                <w:szCs w:val="21"/>
              </w:rPr>
              <w:t>8</w:t>
            </w:r>
          </w:p>
        </w:tc>
        <w:tc>
          <w:tcPr>
            <w:tcW w:w="151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水费</w:t>
            </w:r>
          </w:p>
        </w:tc>
        <w:tc>
          <w:tcPr>
            <w:tcW w:w="1313"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221.34</w:t>
            </w:r>
          </w:p>
        </w:tc>
        <w:tc>
          <w:tcPr>
            <w:tcW w:w="1392"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217.62</w:t>
            </w:r>
          </w:p>
        </w:tc>
        <w:tc>
          <w:tcPr>
            <w:tcW w:w="119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3.72</w:t>
            </w:r>
          </w:p>
        </w:tc>
        <w:tc>
          <w:tcPr>
            <w:tcW w:w="1238"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1.71%</w:t>
            </w:r>
          </w:p>
        </w:tc>
        <w:tc>
          <w:tcPr>
            <w:tcW w:w="1550" w:type="dxa"/>
            <w:tcBorders>
              <w:top w:val="nil"/>
              <w:left w:val="nil"/>
              <w:bottom w:val="single" w:color="000000" w:sz="8" w:space="0"/>
              <w:right w:val="single" w:color="000000" w:sz="8" w:space="0"/>
            </w:tcBorders>
            <w:shd w:val="clear" w:color="auto" w:fill="auto"/>
            <w:vAlign w:val="center"/>
          </w:tcPr>
          <w:p>
            <w:pPr>
              <w:widowControl/>
              <w:jc w:val="center"/>
              <w:textAlignment w:val="bottom"/>
              <w:rPr>
                <w:rFonts w:ascii="微软雅黑" w:hAnsi="微软雅黑" w:eastAsia="微软雅黑" w:cs="微软雅黑"/>
                <w:b/>
                <w:bCs/>
                <w:color w:val="595959"/>
                <w:kern w:val="0"/>
                <w:szCs w:val="21"/>
              </w:rPr>
            </w:pPr>
            <w:r>
              <w:rPr>
                <w:rFonts w:hint="eastAsia" w:ascii="微软雅黑" w:hAnsi="微软雅黑" w:eastAsia="微软雅黑" w:cs="微软雅黑"/>
                <w:b/>
                <w:bCs/>
                <w:color w:val="595959"/>
                <w:kern w:val="0"/>
                <w:szCs w:val="21"/>
              </w:rPr>
              <w:t>0.15%</w:t>
            </w:r>
          </w:p>
        </w:tc>
      </w:tr>
      <w:tr>
        <w:tblPrEx>
          <w:tblCellMar>
            <w:top w:w="0" w:type="dxa"/>
            <w:left w:w="108" w:type="dxa"/>
            <w:bottom w:w="0" w:type="dxa"/>
            <w:right w:w="108" w:type="dxa"/>
          </w:tblCellMar>
        </w:tblPrEx>
        <w:trPr>
          <w:trHeight w:val="540" w:hRule="atLeast"/>
        </w:trPr>
        <w:tc>
          <w:tcPr>
            <w:tcW w:w="695" w:type="dxa"/>
            <w:tcBorders>
              <w:top w:val="nil"/>
              <w:left w:val="single" w:color="000000" w:sz="8" w:space="0"/>
              <w:bottom w:val="single" w:color="000000" w:sz="8" w:space="0"/>
              <w:right w:val="single" w:color="000000" w:sz="8" w:space="0"/>
            </w:tcBorders>
            <w:shd w:val="clear" w:color="auto" w:fill="auto"/>
            <w:vAlign w:val="bottom"/>
          </w:tcPr>
          <w:p>
            <w:pPr>
              <w:widowControl/>
              <w:jc w:val="center"/>
              <w:textAlignment w:val="bottom"/>
              <w:rPr>
                <w:rFonts w:ascii="Tahoma" w:hAnsi="Tahoma" w:eastAsia="Tahoma" w:cs="Tahoma"/>
                <w:b/>
                <w:bCs/>
                <w:color w:val="595959"/>
                <w:szCs w:val="21"/>
              </w:rPr>
            </w:pPr>
            <w:r>
              <w:rPr>
                <w:rFonts w:ascii="Tahoma" w:hAnsi="Tahoma" w:eastAsia="Tahoma" w:cs="Tahoma"/>
                <w:b/>
                <w:bCs/>
                <w:color w:val="595959"/>
                <w:kern w:val="0"/>
                <w:szCs w:val="21"/>
              </w:rPr>
              <w:t>9</w:t>
            </w:r>
          </w:p>
        </w:tc>
        <w:tc>
          <w:tcPr>
            <w:tcW w:w="151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电费</w:t>
            </w:r>
          </w:p>
        </w:tc>
        <w:tc>
          <w:tcPr>
            <w:tcW w:w="1313"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566.12</w:t>
            </w:r>
          </w:p>
        </w:tc>
        <w:tc>
          <w:tcPr>
            <w:tcW w:w="1392"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517.56</w:t>
            </w:r>
          </w:p>
        </w:tc>
        <w:tc>
          <w:tcPr>
            <w:tcW w:w="119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48.56</w:t>
            </w:r>
          </w:p>
        </w:tc>
        <w:tc>
          <w:tcPr>
            <w:tcW w:w="1238"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9.38%</w:t>
            </w:r>
          </w:p>
        </w:tc>
        <w:tc>
          <w:tcPr>
            <w:tcW w:w="1550" w:type="dxa"/>
            <w:tcBorders>
              <w:top w:val="nil"/>
              <w:left w:val="nil"/>
              <w:bottom w:val="single" w:color="000000" w:sz="8" w:space="0"/>
              <w:right w:val="single" w:color="000000" w:sz="8" w:space="0"/>
            </w:tcBorders>
            <w:shd w:val="clear" w:color="auto" w:fill="auto"/>
            <w:vAlign w:val="center"/>
          </w:tcPr>
          <w:p>
            <w:pPr>
              <w:widowControl/>
              <w:jc w:val="center"/>
              <w:textAlignment w:val="bottom"/>
              <w:rPr>
                <w:rFonts w:ascii="微软雅黑" w:hAnsi="微软雅黑" w:eastAsia="微软雅黑" w:cs="微软雅黑"/>
                <w:b/>
                <w:bCs/>
                <w:color w:val="595959"/>
                <w:kern w:val="0"/>
                <w:szCs w:val="21"/>
              </w:rPr>
            </w:pPr>
            <w:r>
              <w:rPr>
                <w:rFonts w:hint="eastAsia" w:ascii="微软雅黑" w:hAnsi="微软雅黑" w:eastAsia="微软雅黑" w:cs="微软雅黑"/>
                <w:b/>
                <w:bCs/>
                <w:color w:val="595959"/>
                <w:kern w:val="0"/>
                <w:szCs w:val="21"/>
              </w:rPr>
              <w:t>0.39%</w:t>
            </w:r>
          </w:p>
        </w:tc>
      </w:tr>
      <w:tr>
        <w:tblPrEx>
          <w:tblCellMar>
            <w:top w:w="0" w:type="dxa"/>
            <w:left w:w="108" w:type="dxa"/>
            <w:bottom w:w="0" w:type="dxa"/>
            <w:right w:w="108" w:type="dxa"/>
          </w:tblCellMar>
        </w:tblPrEx>
        <w:trPr>
          <w:trHeight w:val="540" w:hRule="atLeast"/>
        </w:trPr>
        <w:tc>
          <w:tcPr>
            <w:tcW w:w="695" w:type="dxa"/>
            <w:tcBorders>
              <w:top w:val="nil"/>
              <w:left w:val="single" w:color="000000" w:sz="8" w:space="0"/>
              <w:bottom w:val="single" w:color="000000" w:sz="8" w:space="0"/>
              <w:right w:val="single" w:color="000000" w:sz="8" w:space="0"/>
            </w:tcBorders>
            <w:shd w:val="clear" w:color="auto" w:fill="auto"/>
            <w:vAlign w:val="bottom"/>
          </w:tcPr>
          <w:p>
            <w:pPr>
              <w:widowControl/>
              <w:jc w:val="center"/>
              <w:textAlignment w:val="bottom"/>
              <w:rPr>
                <w:rFonts w:ascii="Tahoma" w:hAnsi="Tahoma" w:eastAsia="Tahoma" w:cs="Tahoma"/>
                <w:b/>
                <w:bCs/>
                <w:color w:val="595959"/>
                <w:szCs w:val="21"/>
              </w:rPr>
            </w:pPr>
            <w:r>
              <w:rPr>
                <w:rFonts w:ascii="Tahoma" w:hAnsi="Tahoma" w:eastAsia="Tahoma" w:cs="Tahoma"/>
                <w:b/>
                <w:bCs/>
                <w:color w:val="595959"/>
                <w:kern w:val="0"/>
                <w:szCs w:val="21"/>
              </w:rPr>
              <w:t>10</w:t>
            </w:r>
          </w:p>
        </w:tc>
        <w:tc>
          <w:tcPr>
            <w:tcW w:w="151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邮电费</w:t>
            </w:r>
          </w:p>
        </w:tc>
        <w:tc>
          <w:tcPr>
            <w:tcW w:w="1313"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10.34</w:t>
            </w:r>
          </w:p>
        </w:tc>
        <w:tc>
          <w:tcPr>
            <w:tcW w:w="1392"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9.96</w:t>
            </w:r>
          </w:p>
        </w:tc>
        <w:tc>
          <w:tcPr>
            <w:tcW w:w="119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0.38</w:t>
            </w:r>
          </w:p>
        </w:tc>
        <w:tc>
          <w:tcPr>
            <w:tcW w:w="1238"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3.82%</w:t>
            </w:r>
          </w:p>
        </w:tc>
        <w:tc>
          <w:tcPr>
            <w:tcW w:w="1550" w:type="dxa"/>
            <w:tcBorders>
              <w:top w:val="nil"/>
              <w:left w:val="nil"/>
              <w:bottom w:val="single" w:color="000000" w:sz="8" w:space="0"/>
              <w:right w:val="single" w:color="000000" w:sz="8" w:space="0"/>
            </w:tcBorders>
            <w:shd w:val="clear" w:color="auto" w:fill="auto"/>
            <w:vAlign w:val="center"/>
          </w:tcPr>
          <w:p>
            <w:pPr>
              <w:widowControl/>
              <w:jc w:val="center"/>
              <w:textAlignment w:val="bottom"/>
              <w:rPr>
                <w:rFonts w:ascii="微软雅黑" w:hAnsi="微软雅黑" w:eastAsia="微软雅黑" w:cs="微软雅黑"/>
                <w:b/>
                <w:bCs/>
                <w:color w:val="595959"/>
                <w:kern w:val="0"/>
                <w:szCs w:val="21"/>
              </w:rPr>
            </w:pPr>
            <w:r>
              <w:rPr>
                <w:rFonts w:hint="eastAsia" w:ascii="微软雅黑" w:hAnsi="微软雅黑" w:eastAsia="微软雅黑" w:cs="微软雅黑"/>
                <w:b/>
                <w:bCs/>
                <w:color w:val="595959"/>
                <w:kern w:val="0"/>
                <w:szCs w:val="21"/>
              </w:rPr>
              <w:t>0.01%</w:t>
            </w:r>
          </w:p>
        </w:tc>
      </w:tr>
      <w:tr>
        <w:tblPrEx>
          <w:tblCellMar>
            <w:top w:w="0" w:type="dxa"/>
            <w:left w:w="108" w:type="dxa"/>
            <w:bottom w:w="0" w:type="dxa"/>
            <w:right w:w="108" w:type="dxa"/>
          </w:tblCellMar>
        </w:tblPrEx>
        <w:trPr>
          <w:trHeight w:val="540" w:hRule="atLeast"/>
        </w:trPr>
        <w:tc>
          <w:tcPr>
            <w:tcW w:w="695" w:type="dxa"/>
            <w:tcBorders>
              <w:top w:val="nil"/>
              <w:left w:val="single" w:color="000000" w:sz="8" w:space="0"/>
              <w:bottom w:val="single" w:color="000000" w:sz="8" w:space="0"/>
              <w:right w:val="single" w:color="000000" w:sz="8" w:space="0"/>
            </w:tcBorders>
            <w:shd w:val="clear" w:color="auto" w:fill="auto"/>
            <w:vAlign w:val="bottom"/>
          </w:tcPr>
          <w:p>
            <w:pPr>
              <w:widowControl/>
              <w:jc w:val="center"/>
              <w:textAlignment w:val="bottom"/>
              <w:rPr>
                <w:rFonts w:ascii="Tahoma" w:hAnsi="Tahoma" w:eastAsia="Tahoma" w:cs="Tahoma"/>
                <w:b/>
                <w:bCs/>
                <w:color w:val="595959"/>
                <w:szCs w:val="21"/>
              </w:rPr>
            </w:pPr>
            <w:r>
              <w:rPr>
                <w:rFonts w:ascii="Tahoma" w:hAnsi="Tahoma" w:eastAsia="Tahoma" w:cs="Tahoma"/>
                <w:b/>
                <w:bCs/>
                <w:color w:val="595959"/>
                <w:kern w:val="0"/>
                <w:szCs w:val="21"/>
              </w:rPr>
              <w:t>11</w:t>
            </w:r>
          </w:p>
        </w:tc>
        <w:tc>
          <w:tcPr>
            <w:tcW w:w="151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取暖费</w:t>
            </w:r>
          </w:p>
        </w:tc>
        <w:tc>
          <w:tcPr>
            <w:tcW w:w="1313"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349.32</w:t>
            </w:r>
          </w:p>
        </w:tc>
        <w:tc>
          <w:tcPr>
            <w:tcW w:w="1392"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216.18</w:t>
            </w:r>
          </w:p>
        </w:tc>
        <w:tc>
          <w:tcPr>
            <w:tcW w:w="119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133.14</w:t>
            </w:r>
          </w:p>
        </w:tc>
        <w:tc>
          <w:tcPr>
            <w:tcW w:w="1238"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61.59%</w:t>
            </w:r>
          </w:p>
        </w:tc>
        <w:tc>
          <w:tcPr>
            <w:tcW w:w="1550" w:type="dxa"/>
            <w:tcBorders>
              <w:top w:val="nil"/>
              <w:left w:val="nil"/>
              <w:bottom w:val="single" w:color="000000" w:sz="8" w:space="0"/>
              <w:right w:val="single" w:color="000000" w:sz="8" w:space="0"/>
            </w:tcBorders>
            <w:shd w:val="clear" w:color="auto" w:fill="auto"/>
            <w:vAlign w:val="center"/>
          </w:tcPr>
          <w:p>
            <w:pPr>
              <w:widowControl/>
              <w:jc w:val="center"/>
              <w:textAlignment w:val="bottom"/>
              <w:rPr>
                <w:rFonts w:ascii="微软雅黑" w:hAnsi="微软雅黑" w:eastAsia="微软雅黑" w:cs="微软雅黑"/>
                <w:b/>
                <w:bCs/>
                <w:color w:val="595959"/>
                <w:kern w:val="0"/>
                <w:szCs w:val="21"/>
              </w:rPr>
            </w:pPr>
            <w:r>
              <w:rPr>
                <w:rFonts w:hint="eastAsia" w:ascii="微软雅黑" w:hAnsi="微软雅黑" w:eastAsia="微软雅黑" w:cs="微软雅黑"/>
                <w:b/>
                <w:bCs/>
                <w:color w:val="595959"/>
                <w:kern w:val="0"/>
                <w:szCs w:val="21"/>
              </w:rPr>
              <w:t>0.24%</w:t>
            </w:r>
          </w:p>
        </w:tc>
      </w:tr>
      <w:tr>
        <w:tblPrEx>
          <w:tblCellMar>
            <w:top w:w="0" w:type="dxa"/>
            <w:left w:w="108" w:type="dxa"/>
            <w:bottom w:w="0" w:type="dxa"/>
            <w:right w:w="108" w:type="dxa"/>
          </w:tblCellMar>
        </w:tblPrEx>
        <w:trPr>
          <w:trHeight w:val="540" w:hRule="atLeast"/>
        </w:trPr>
        <w:tc>
          <w:tcPr>
            <w:tcW w:w="695" w:type="dxa"/>
            <w:tcBorders>
              <w:top w:val="nil"/>
              <w:left w:val="single" w:color="000000" w:sz="8" w:space="0"/>
              <w:bottom w:val="single" w:color="000000" w:sz="8" w:space="0"/>
              <w:right w:val="single" w:color="000000" w:sz="8" w:space="0"/>
            </w:tcBorders>
            <w:shd w:val="clear" w:color="auto" w:fill="auto"/>
            <w:vAlign w:val="bottom"/>
          </w:tcPr>
          <w:p>
            <w:pPr>
              <w:widowControl/>
              <w:jc w:val="center"/>
              <w:textAlignment w:val="bottom"/>
              <w:rPr>
                <w:rFonts w:ascii="Tahoma" w:hAnsi="Tahoma" w:eastAsia="Tahoma" w:cs="Tahoma"/>
                <w:b/>
                <w:bCs/>
                <w:color w:val="595959"/>
                <w:szCs w:val="21"/>
              </w:rPr>
            </w:pPr>
            <w:r>
              <w:rPr>
                <w:rFonts w:ascii="Tahoma" w:hAnsi="Tahoma" w:eastAsia="Tahoma" w:cs="Tahoma"/>
                <w:b/>
                <w:bCs/>
                <w:color w:val="595959"/>
                <w:kern w:val="0"/>
                <w:szCs w:val="21"/>
              </w:rPr>
              <w:t>12</w:t>
            </w:r>
          </w:p>
        </w:tc>
        <w:tc>
          <w:tcPr>
            <w:tcW w:w="151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物业管理费</w:t>
            </w:r>
          </w:p>
        </w:tc>
        <w:tc>
          <w:tcPr>
            <w:tcW w:w="1313"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1561.72</w:t>
            </w:r>
          </w:p>
        </w:tc>
        <w:tc>
          <w:tcPr>
            <w:tcW w:w="1392"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1962.17</w:t>
            </w:r>
          </w:p>
        </w:tc>
        <w:tc>
          <w:tcPr>
            <w:tcW w:w="119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-400.45</w:t>
            </w:r>
          </w:p>
        </w:tc>
        <w:tc>
          <w:tcPr>
            <w:tcW w:w="1238"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-20.41%</w:t>
            </w:r>
          </w:p>
        </w:tc>
        <w:tc>
          <w:tcPr>
            <w:tcW w:w="1550" w:type="dxa"/>
            <w:tcBorders>
              <w:top w:val="nil"/>
              <w:left w:val="nil"/>
              <w:bottom w:val="single" w:color="000000" w:sz="8" w:space="0"/>
              <w:right w:val="single" w:color="000000" w:sz="8" w:space="0"/>
            </w:tcBorders>
            <w:shd w:val="clear" w:color="auto" w:fill="auto"/>
            <w:vAlign w:val="center"/>
          </w:tcPr>
          <w:p>
            <w:pPr>
              <w:widowControl/>
              <w:jc w:val="center"/>
              <w:textAlignment w:val="bottom"/>
              <w:rPr>
                <w:rFonts w:ascii="微软雅黑" w:hAnsi="微软雅黑" w:eastAsia="微软雅黑" w:cs="微软雅黑"/>
                <w:b/>
                <w:bCs/>
                <w:color w:val="595959"/>
                <w:kern w:val="0"/>
                <w:szCs w:val="21"/>
              </w:rPr>
            </w:pPr>
            <w:r>
              <w:rPr>
                <w:rFonts w:hint="eastAsia" w:ascii="微软雅黑" w:hAnsi="微软雅黑" w:eastAsia="微软雅黑" w:cs="微软雅黑"/>
                <w:b/>
                <w:bCs/>
                <w:color w:val="595959"/>
                <w:kern w:val="0"/>
                <w:szCs w:val="21"/>
              </w:rPr>
              <w:t>1.06%</w:t>
            </w:r>
          </w:p>
        </w:tc>
      </w:tr>
      <w:tr>
        <w:tblPrEx>
          <w:tblCellMar>
            <w:top w:w="0" w:type="dxa"/>
            <w:left w:w="108" w:type="dxa"/>
            <w:bottom w:w="0" w:type="dxa"/>
            <w:right w:w="108" w:type="dxa"/>
          </w:tblCellMar>
        </w:tblPrEx>
        <w:trPr>
          <w:trHeight w:val="540" w:hRule="atLeast"/>
        </w:trPr>
        <w:tc>
          <w:tcPr>
            <w:tcW w:w="695" w:type="dxa"/>
            <w:tcBorders>
              <w:top w:val="nil"/>
              <w:left w:val="single" w:color="000000" w:sz="8" w:space="0"/>
              <w:bottom w:val="single" w:color="000000" w:sz="8" w:space="0"/>
              <w:right w:val="single" w:color="000000" w:sz="8" w:space="0"/>
            </w:tcBorders>
            <w:shd w:val="clear" w:color="auto" w:fill="auto"/>
            <w:vAlign w:val="bottom"/>
          </w:tcPr>
          <w:p>
            <w:pPr>
              <w:widowControl/>
              <w:jc w:val="center"/>
              <w:textAlignment w:val="bottom"/>
              <w:rPr>
                <w:rFonts w:ascii="Tahoma" w:hAnsi="Tahoma" w:eastAsia="Tahoma" w:cs="Tahoma"/>
                <w:b/>
                <w:bCs/>
                <w:color w:val="595959"/>
                <w:szCs w:val="21"/>
              </w:rPr>
            </w:pPr>
            <w:r>
              <w:rPr>
                <w:rFonts w:ascii="Tahoma" w:hAnsi="Tahoma" w:eastAsia="Tahoma" w:cs="Tahoma"/>
                <w:b/>
                <w:bCs/>
                <w:color w:val="595959"/>
                <w:kern w:val="0"/>
                <w:szCs w:val="21"/>
              </w:rPr>
              <w:t>13</w:t>
            </w:r>
          </w:p>
        </w:tc>
        <w:tc>
          <w:tcPr>
            <w:tcW w:w="151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差旅费</w:t>
            </w:r>
          </w:p>
        </w:tc>
        <w:tc>
          <w:tcPr>
            <w:tcW w:w="1313"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30.65</w:t>
            </w:r>
          </w:p>
        </w:tc>
        <w:tc>
          <w:tcPr>
            <w:tcW w:w="1392"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54.6</w:t>
            </w:r>
          </w:p>
        </w:tc>
        <w:tc>
          <w:tcPr>
            <w:tcW w:w="119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-23.95</w:t>
            </w:r>
          </w:p>
        </w:tc>
        <w:tc>
          <w:tcPr>
            <w:tcW w:w="1238"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-43.86%</w:t>
            </w:r>
          </w:p>
        </w:tc>
        <w:tc>
          <w:tcPr>
            <w:tcW w:w="1550" w:type="dxa"/>
            <w:tcBorders>
              <w:top w:val="nil"/>
              <w:left w:val="nil"/>
              <w:bottom w:val="single" w:color="000000" w:sz="8" w:space="0"/>
              <w:right w:val="single" w:color="000000" w:sz="8" w:space="0"/>
            </w:tcBorders>
            <w:shd w:val="clear" w:color="auto" w:fill="auto"/>
            <w:vAlign w:val="center"/>
          </w:tcPr>
          <w:p>
            <w:pPr>
              <w:widowControl/>
              <w:jc w:val="center"/>
              <w:textAlignment w:val="bottom"/>
              <w:rPr>
                <w:rFonts w:ascii="微软雅黑" w:hAnsi="微软雅黑" w:eastAsia="微软雅黑" w:cs="微软雅黑"/>
                <w:b/>
                <w:bCs/>
                <w:color w:val="595959"/>
                <w:kern w:val="0"/>
                <w:szCs w:val="21"/>
              </w:rPr>
            </w:pPr>
            <w:r>
              <w:rPr>
                <w:rFonts w:hint="eastAsia" w:ascii="微软雅黑" w:hAnsi="微软雅黑" w:eastAsia="微软雅黑" w:cs="微软雅黑"/>
                <w:b/>
                <w:bCs/>
                <w:color w:val="595959"/>
                <w:kern w:val="0"/>
                <w:szCs w:val="21"/>
              </w:rPr>
              <w:t>0.02%</w:t>
            </w:r>
          </w:p>
        </w:tc>
      </w:tr>
      <w:tr>
        <w:tblPrEx>
          <w:tblCellMar>
            <w:top w:w="0" w:type="dxa"/>
            <w:left w:w="108" w:type="dxa"/>
            <w:bottom w:w="0" w:type="dxa"/>
            <w:right w:w="108" w:type="dxa"/>
          </w:tblCellMar>
        </w:tblPrEx>
        <w:trPr>
          <w:trHeight w:val="540" w:hRule="atLeast"/>
        </w:trPr>
        <w:tc>
          <w:tcPr>
            <w:tcW w:w="695" w:type="dxa"/>
            <w:tcBorders>
              <w:top w:val="nil"/>
              <w:left w:val="single" w:color="000000" w:sz="8" w:space="0"/>
              <w:bottom w:val="single" w:color="000000" w:sz="8" w:space="0"/>
              <w:right w:val="single" w:color="000000" w:sz="8" w:space="0"/>
            </w:tcBorders>
            <w:shd w:val="clear" w:color="auto" w:fill="auto"/>
            <w:vAlign w:val="bottom"/>
          </w:tcPr>
          <w:p>
            <w:pPr>
              <w:widowControl/>
              <w:jc w:val="center"/>
              <w:textAlignment w:val="bottom"/>
              <w:rPr>
                <w:rFonts w:ascii="Tahoma" w:hAnsi="Tahoma" w:eastAsia="Tahoma" w:cs="Tahoma"/>
                <w:b/>
                <w:bCs/>
                <w:color w:val="595959"/>
                <w:szCs w:val="21"/>
              </w:rPr>
            </w:pPr>
            <w:r>
              <w:rPr>
                <w:rFonts w:ascii="Tahoma" w:hAnsi="Tahoma" w:eastAsia="Tahoma" w:cs="Tahoma"/>
                <w:b/>
                <w:bCs/>
                <w:color w:val="595959"/>
                <w:kern w:val="0"/>
                <w:szCs w:val="21"/>
              </w:rPr>
              <w:t>14</w:t>
            </w:r>
          </w:p>
        </w:tc>
        <w:tc>
          <w:tcPr>
            <w:tcW w:w="151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维修费</w:t>
            </w:r>
          </w:p>
        </w:tc>
        <w:tc>
          <w:tcPr>
            <w:tcW w:w="1313"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1917.84</w:t>
            </w:r>
          </w:p>
        </w:tc>
        <w:tc>
          <w:tcPr>
            <w:tcW w:w="1392"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2102.49</w:t>
            </w:r>
          </w:p>
        </w:tc>
        <w:tc>
          <w:tcPr>
            <w:tcW w:w="119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-184.65</w:t>
            </w:r>
          </w:p>
        </w:tc>
        <w:tc>
          <w:tcPr>
            <w:tcW w:w="1238"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-8.78%</w:t>
            </w:r>
          </w:p>
        </w:tc>
        <w:tc>
          <w:tcPr>
            <w:tcW w:w="1550" w:type="dxa"/>
            <w:tcBorders>
              <w:top w:val="nil"/>
              <w:left w:val="nil"/>
              <w:bottom w:val="single" w:color="000000" w:sz="8" w:space="0"/>
              <w:right w:val="single" w:color="000000" w:sz="8" w:space="0"/>
            </w:tcBorders>
            <w:shd w:val="clear" w:color="auto" w:fill="auto"/>
            <w:vAlign w:val="center"/>
          </w:tcPr>
          <w:p>
            <w:pPr>
              <w:widowControl/>
              <w:jc w:val="center"/>
              <w:textAlignment w:val="bottom"/>
              <w:rPr>
                <w:rFonts w:ascii="微软雅黑" w:hAnsi="微软雅黑" w:eastAsia="微软雅黑" w:cs="微软雅黑"/>
                <w:b/>
                <w:bCs/>
                <w:color w:val="595959"/>
                <w:kern w:val="0"/>
                <w:szCs w:val="21"/>
              </w:rPr>
            </w:pPr>
            <w:r>
              <w:rPr>
                <w:rFonts w:hint="eastAsia" w:ascii="微软雅黑" w:hAnsi="微软雅黑" w:eastAsia="微软雅黑" w:cs="微软雅黑"/>
                <w:b/>
                <w:bCs/>
                <w:color w:val="595959"/>
                <w:kern w:val="0"/>
                <w:szCs w:val="21"/>
              </w:rPr>
              <w:t>1.31%</w:t>
            </w:r>
          </w:p>
        </w:tc>
      </w:tr>
      <w:tr>
        <w:tblPrEx>
          <w:tblCellMar>
            <w:top w:w="0" w:type="dxa"/>
            <w:left w:w="108" w:type="dxa"/>
            <w:bottom w:w="0" w:type="dxa"/>
            <w:right w:w="108" w:type="dxa"/>
          </w:tblCellMar>
        </w:tblPrEx>
        <w:trPr>
          <w:trHeight w:val="540" w:hRule="atLeast"/>
        </w:trPr>
        <w:tc>
          <w:tcPr>
            <w:tcW w:w="695" w:type="dxa"/>
            <w:tcBorders>
              <w:top w:val="nil"/>
              <w:left w:val="single" w:color="000000" w:sz="8" w:space="0"/>
              <w:bottom w:val="single" w:color="000000" w:sz="8" w:space="0"/>
              <w:right w:val="single" w:color="000000" w:sz="8" w:space="0"/>
            </w:tcBorders>
            <w:shd w:val="clear" w:color="auto" w:fill="auto"/>
            <w:vAlign w:val="bottom"/>
          </w:tcPr>
          <w:p>
            <w:pPr>
              <w:widowControl/>
              <w:jc w:val="center"/>
              <w:textAlignment w:val="bottom"/>
              <w:rPr>
                <w:rFonts w:ascii="Tahoma" w:hAnsi="Tahoma" w:eastAsia="Tahoma" w:cs="Tahoma"/>
                <w:b/>
                <w:bCs/>
                <w:color w:val="595959"/>
                <w:szCs w:val="21"/>
              </w:rPr>
            </w:pPr>
            <w:r>
              <w:rPr>
                <w:rFonts w:ascii="Tahoma" w:hAnsi="Tahoma" w:eastAsia="Tahoma" w:cs="Tahoma"/>
                <w:b/>
                <w:bCs/>
                <w:color w:val="595959"/>
                <w:kern w:val="0"/>
                <w:szCs w:val="21"/>
              </w:rPr>
              <w:t>15</w:t>
            </w:r>
          </w:p>
        </w:tc>
        <w:tc>
          <w:tcPr>
            <w:tcW w:w="151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会议费</w:t>
            </w:r>
          </w:p>
        </w:tc>
        <w:tc>
          <w:tcPr>
            <w:tcW w:w="1313"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12.65</w:t>
            </w:r>
          </w:p>
        </w:tc>
        <w:tc>
          <w:tcPr>
            <w:tcW w:w="1392" w:type="dxa"/>
            <w:tcBorders>
              <w:top w:val="nil"/>
              <w:left w:val="nil"/>
              <w:bottom w:val="single" w:color="000000" w:sz="8" w:space="0"/>
              <w:right w:val="single" w:color="000000" w:sz="8" w:space="0"/>
            </w:tcBorders>
            <w:shd w:val="clear" w:color="auto" w:fill="auto"/>
            <w:vAlign w:val="bottom"/>
          </w:tcPr>
          <w:p>
            <w:pPr>
              <w:jc w:val="center"/>
              <w:rPr>
                <w:rFonts w:ascii="微软雅黑" w:hAnsi="微软雅黑" w:eastAsia="微软雅黑" w:cs="微软雅黑"/>
                <w:b/>
                <w:bCs/>
                <w:color w:val="595959"/>
                <w:szCs w:val="21"/>
              </w:rPr>
            </w:pPr>
          </w:p>
        </w:tc>
        <w:tc>
          <w:tcPr>
            <w:tcW w:w="119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12.65</w:t>
            </w:r>
          </w:p>
        </w:tc>
        <w:tc>
          <w:tcPr>
            <w:tcW w:w="1238"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p>
        </w:tc>
        <w:tc>
          <w:tcPr>
            <w:tcW w:w="1550" w:type="dxa"/>
            <w:tcBorders>
              <w:top w:val="nil"/>
              <w:left w:val="nil"/>
              <w:bottom w:val="single" w:color="000000" w:sz="8" w:space="0"/>
              <w:right w:val="single" w:color="000000" w:sz="8" w:space="0"/>
            </w:tcBorders>
            <w:shd w:val="clear" w:color="auto" w:fill="auto"/>
            <w:vAlign w:val="center"/>
          </w:tcPr>
          <w:p>
            <w:pPr>
              <w:widowControl/>
              <w:jc w:val="center"/>
              <w:textAlignment w:val="bottom"/>
              <w:rPr>
                <w:rFonts w:ascii="微软雅黑" w:hAnsi="微软雅黑" w:eastAsia="微软雅黑" w:cs="微软雅黑"/>
                <w:b/>
                <w:bCs/>
                <w:color w:val="595959"/>
                <w:kern w:val="0"/>
                <w:szCs w:val="21"/>
              </w:rPr>
            </w:pPr>
            <w:r>
              <w:rPr>
                <w:rFonts w:hint="eastAsia" w:ascii="微软雅黑" w:hAnsi="微软雅黑" w:eastAsia="微软雅黑" w:cs="微软雅黑"/>
                <w:b/>
                <w:bCs/>
                <w:color w:val="595959"/>
                <w:kern w:val="0"/>
                <w:szCs w:val="21"/>
              </w:rPr>
              <w:t>0.01%</w:t>
            </w:r>
          </w:p>
        </w:tc>
      </w:tr>
      <w:tr>
        <w:tblPrEx>
          <w:tblCellMar>
            <w:top w:w="0" w:type="dxa"/>
            <w:left w:w="108" w:type="dxa"/>
            <w:bottom w:w="0" w:type="dxa"/>
            <w:right w:w="108" w:type="dxa"/>
          </w:tblCellMar>
        </w:tblPrEx>
        <w:trPr>
          <w:trHeight w:val="540" w:hRule="atLeast"/>
        </w:trPr>
        <w:tc>
          <w:tcPr>
            <w:tcW w:w="695" w:type="dxa"/>
            <w:tcBorders>
              <w:top w:val="nil"/>
              <w:left w:val="single" w:color="000000" w:sz="8" w:space="0"/>
              <w:bottom w:val="single" w:color="000000" w:sz="8" w:space="0"/>
              <w:right w:val="single" w:color="000000" w:sz="8" w:space="0"/>
            </w:tcBorders>
            <w:shd w:val="clear" w:color="auto" w:fill="auto"/>
            <w:vAlign w:val="bottom"/>
          </w:tcPr>
          <w:p>
            <w:pPr>
              <w:widowControl/>
              <w:jc w:val="center"/>
              <w:textAlignment w:val="bottom"/>
              <w:rPr>
                <w:rFonts w:ascii="Tahoma" w:hAnsi="Tahoma" w:eastAsia="Tahoma" w:cs="Tahoma"/>
                <w:b/>
                <w:bCs/>
                <w:color w:val="595959"/>
                <w:szCs w:val="21"/>
              </w:rPr>
            </w:pPr>
            <w:r>
              <w:rPr>
                <w:rFonts w:ascii="Tahoma" w:hAnsi="Tahoma" w:eastAsia="Tahoma" w:cs="Tahoma"/>
                <w:b/>
                <w:bCs/>
                <w:color w:val="595959"/>
                <w:kern w:val="0"/>
                <w:szCs w:val="21"/>
              </w:rPr>
              <w:t>16</w:t>
            </w:r>
          </w:p>
        </w:tc>
        <w:tc>
          <w:tcPr>
            <w:tcW w:w="151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培训费</w:t>
            </w:r>
          </w:p>
        </w:tc>
        <w:tc>
          <w:tcPr>
            <w:tcW w:w="1313"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23.02</w:t>
            </w:r>
          </w:p>
        </w:tc>
        <w:tc>
          <w:tcPr>
            <w:tcW w:w="1392"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67.19</w:t>
            </w:r>
          </w:p>
        </w:tc>
        <w:tc>
          <w:tcPr>
            <w:tcW w:w="119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-44.17</w:t>
            </w:r>
          </w:p>
        </w:tc>
        <w:tc>
          <w:tcPr>
            <w:tcW w:w="1238"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-65.74%</w:t>
            </w:r>
          </w:p>
        </w:tc>
        <w:tc>
          <w:tcPr>
            <w:tcW w:w="1550" w:type="dxa"/>
            <w:tcBorders>
              <w:top w:val="nil"/>
              <w:left w:val="nil"/>
              <w:bottom w:val="single" w:color="000000" w:sz="8" w:space="0"/>
              <w:right w:val="single" w:color="000000" w:sz="8" w:space="0"/>
            </w:tcBorders>
            <w:shd w:val="clear" w:color="auto" w:fill="auto"/>
            <w:vAlign w:val="center"/>
          </w:tcPr>
          <w:p>
            <w:pPr>
              <w:widowControl/>
              <w:jc w:val="center"/>
              <w:textAlignment w:val="bottom"/>
              <w:rPr>
                <w:rFonts w:ascii="微软雅黑" w:hAnsi="微软雅黑" w:eastAsia="微软雅黑" w:cs="微软雅黑"/>
                <w:b/>
                <w:bCs/>
                <w:color w:val="595959"/>
                <w:kern w:val="0"/>
                <w:szCs w:val="21"/>
              </w:rPr>
            </w:pPr>
            <w:r>
              <w:rPr>
                <w:rFonts w:hint="eastAsia" w:ascii="微软雅黑" w:hAnsi="微软雅黑" w:eastAsia="微软雅黑" w:cs="微软雅黑"/>
                <w:b/>
                <w:bCs/>
                <w:color w:val="595959"/>
                <w:kern w:val="0"/>
                <w:szCs w:val="21"/>
              </w:rPr>
              <w:t>0.02%</w:t>
            </w:r>
          </w:p>
        </w:tc>
      </w:tr>
      <w:tr>
        <w:tblPrEx>
          <w:tblCellMar>
            <w:top w:w="0" w:type="dxa"/>
            <w:left w:w="108" w:type="dxa"/>
            <w:bottom w:w="0" w:type="dxa"/>
            <w:right w:w="108" w:type="dxa"/>
          </w:tblCellMar>
        </w:tblPrEx>
        <w:trPr>
          <w:trHeight w:val="540" w:hRule="atLeast"/>
        </w:trPr>
        <w:tc>
          <w:tcPr>
            <w:tcW w:w="695" w:type="dxa"/>
            <w:tcBorders>
              <w:top w:val="nil"/>
              <w:left w:val="single" w:color="000000" w:sz="8" w:space="0"/>
              <w:bottom w:val="single" w:color="000000" w:sz="8" w:space="0"/>
              <w:right w:val="single" w:color="000000" w:sz="8" w:space="0"/>
            </w:tcBorders>
            <w:shd w:val="clear" w:color="auto" w:fill="auto"/>
            <w:vAlign w:val="bottom"/>
          </w:tcPr>
          <w:p>
            <w:pPr>
              <w:widowControl/>
              <w:jc w:val="center"/>
              <w:textAlignment w:val="bottom"/>
              <w:rPr>
                <w:rFonts w:ascii="Tahoma" w:hAnsi="Tahoma" w:eastAsia="Tahoma" w:cs="Tahoma"/>
                <w:b/>
                <w:bCs/>
                <w:color w:val="595959"/>
                <w:szCs w:val="21"/>
              </w:rPr>
            </w:pPr>
            <w:r>
              <w:rPr>
                <w:rFonts w:ascii="Tahoma" w:hAnsi="Tahoma" w:eastAsia="Tahoma" w:cs="Tahoma"/>
                <w:b/>
                <w:bCs/>
                <w:color w:val="595959"/>
                <w:kern w:val="0"/>
                <w:szCs w:val="21"/>
              </w:rPr>
              <w:t>17</w:t>
            </w:r>
          </w:p>
        </w:tc>
        <w:tc>
          <w:tcPr>
            <w:tcW w:w="151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公务接待费</w:t>
            </w:r>
          </w:p>
        </w:tc>
        <w:tc>
          <w:tcPr>
            <w:tcW w:w="1313"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0.91</w:t>
            </w:r>
          </w:p>
        </w:tc>
        <w:tc>
          <w:tcPr>
            <w:tcW w:w="1392"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8.12</w:t>
            </w:r>
          </w:p>
        </w:tc>
        <w:tc>
          <w:tcPr>
            <w:tcW w:w="119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-7.21</w:t>
            </w:r>
          </w:p>
        </w:tc>
        <w:tc>
          <w:tcPr>
            <w:tcW w:w="1238"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-88.79%</w:t>
            </w:r>
          </w:p>
        </w:tc>
        <w:tc>
          <w:tcPr>
            <w:tcW w:w="1550" w:type="dxa"/>
            <w:tcBorders>
              <w:top w:val="nil"/>
              <w:left w:val="nil"/>
              <w:bottom w:val="single" w:color="000000" w:sz="8" w:space="0"/>
              <w:right w:val="single" w:color="000000" w:sz="8" w:space="0"/>
            </w:tcBorders>
            <w:shd w:val="clear" w:color="auto" w:fill="auto"/>
            <w:vAlign w:val="center"/>
          </w:tcPr>
          <w:p>
            <w:pPr>
              <w:widowControl/>
              <w:jc w:val="center"/>
              <w:textAlignment w:val="bottom"/>
              <w:rPr>
                <w:rFonts w:ascii="微软雅黑" w:hAnsi="微软雅黑" w:eastAsia="微软雅黑" w:cs="微软雅黑"/>
                <w:b/>
                <w:bCs/>
                <w:color w:val="595959"/>
                <w:kern w:val="0"/>
                <w:szCs w:val="21"/>
              </w:rPr>
            </w:pPr>
            <w:r>
              <w:rPr>
                <w:rFonts w:hint="eastAsia" w:ascii="微软雅黑" w:hAnsi="微软雅黑" w:eastAsia="微软雅黑" w:cs="微软雅黑"/>
                <w:b/>
                <w:bCs/>
                <w:color w:val="595959"/>
                <w:kern w:val="0"/>
                <w:szCs w:val="21"/>
              </w:rPr>
              <w:t>0.00%</w:t>
            </w:r>
          </w:p>
        </w:tc>
      </w:tr>
      <w:tr>
        <w:tblPrEx>
          <w:tblCellMar>
            <w:top w:w="0" w:type="dxa"/>
            <w:left w:w="108" w:type="dxa"/>
            <w:bottom w:w="0" w:type="dxa"/>
            <w:right w:w="108" w:type="dxa"/>
          </w:tblCellMar>
        </w:tblPrEx>
        <w:trPr>
          <w:trHeight w:val="540" w:hRule="atLeast"/>
        </w:trPr>
        <w:tc>
          <w:tcPr>
            <w:tcW w:w="695" w:type="dxa"/>
            <w:tcBorders>
              <w:top w:val="nil"/>
              <w:left w:val="single" w:color="000000" w:sz="8" w:space="0"/>
              <w:bottom w:val="single" w:color="000000" w:sz="8" w:space="0"/>
              <w:right w:val="single" w:color="000000" w:sz="8" w:space="0"/>
            </w:tcBorders>
            <w:shd w:val="clear" w:color="auto" w:fill="auto"/>
            <w:vAlign w:val="bottom"/>
          </w:tcPr>
          <w:p>
            <w:pPr>
              <w:widowControl/>
              <w:jc w:val="center"/>
              <w:textAlignment w:val="bottom"/>
              <w:rPr>
                <w:rFonts w:ascii="Tahoma" w:hAnsi="Tahoma" w:eastAsia="Tahoma" w:cs="Tahoma"/>
                <w:b/>
                <w:bCs/>
                <w:color w:val="595959"/>
                <w:szCs w:val="21"/>
              </w:rPr>
            </w:pPr>
            <w:r>
              <w:rPr>
                <w:rFonts w:ascii="Tahoma" w:hAnsi="Tahoma" w:eastAsia="Tahoma" w:cs="Tahoma"/>
                <w:b/>
                <w:bCs/>
                <w:color w:val="595959"/>
                <w:kern w:val="0"/>
                <w:szCs w:val="21"/>
              </w:rPr>
              <w:t>18</w:t>
            </w:r>
          </w:p>
        </w:tc>
        <w:tc>
          <w:tcPr>
            <w:tcW w:w="151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劳务费</w:t>
            </w:r>
          </w:p>
        </w:tc>
        <w:tc>
          <w:tcPr>
            <w:tcW w:w="1313"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5.35</w:t>
            </w:r>
          </w:p>
        </w:tc>
        <w:tc>
          <w:tcPr>
            <w:tcW w:w="1392"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8.09</w:t>
            </w:r>
          </w:p>
        </w:tc>
        <w:tc>
          <w:tcPr>
            <w:tcW w:w="119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-2.74</w:t>
            </w:r>
          </w:p>
        </w:tc>
        <w:tc>
          <w:tcPr>
            <w:tcW w:w="1238"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-33.87%</w:t>
            </w:r>
          </w:p>
        </w:tc>
        <w:tc>
          <w:tcPr>
            <w:tcW w:w="1550" w:type="dxa"/>
            <w:tcBorders>
              <w:top w:val="nil"/>
              <w:left w:val="nil"/>
              <w:bottom w:val="single" w:color="000000" w:sz="8" w:space="0"/>
              <w:right w:val="single" w:color="000000" w:sz="8" w:space="0"/>
            </w:tcBorders>
            <w:shd w:val="clear" w:color="auto" w:fill="auto"/>
            <w:vAlign w:val="center"/>
          </w:tcPr>
          <w:p>
            <w:pPr>
              <w:widowControl/>
              <w:jc w:val="center"/>
              <w:textAlignment w:val="bottom"/>
              <w:rPr>
                <w:rFonts w:ascii="微软雅黑" w:hAnsi="微软雅黑" w:eastAsia="微软雅黑" w:cs="微软雅黑"/>
                <w:b/>
                <w:bCs/>
                <w:color w:val="595959"/>
                <w:kern w:val="0"/>
                <w:szCs w:val="21"/>
              </w:rPr>
            </w:pPr>
            <w:r>
              <w:rPr>
                <w:rFonts w:hint="eastAsia" w:ascii="微软雅黑" w:hAnsi="微软雅黑" w:eastAsia="微软雅黑" w:cs="微软雅黑"/>
                <w:b/>
                <w:bCs/>
                <w:color w:val="595959"/>
                <w:kern w:val="0"/>
                <w:szCs w:val="21"/>
              </w:rPr>
              <w:t>0.00%</w:t>
            </w:r>
          </w:p>
        </w:tc>
      </w:tr>
      <w:tr>
        <w:tblPrEx>
          <w:tblCellMar>
            <w:top w:w="0" w:type="dxa"/>
            <w:left w:w="108" w:type="dxa"/>
            <w:bottom w:w="0" w:type="dxa"/>
            <w:right w:w="108" w:type="dxa"/>
          </w:tblCellMar>
        </w:tblPrEx>
        <w:trPr>
          <w:trHeight w:val="540" w:hRule="atLeast"/>
        </w:trPr>
        <w:tc>
          <w:tcPr>
            <w:tcW w:w="695" w:type="dxa"/>
            <w:tcBorders>
              <w:top w:val="nil"/>
              <w:left w:val="single" w:color="000000" w:sz="8" w:space="0"/>
              <w:bottom w:val="single" w:color="000000" w:sz="8" w:space="0"/>
              <w:right w:val="single" w:color="000000" w:sz="8" w:space="0"/>
            </w:tcBorders>
            <w:shd w:val="clear" w:color="auto" w:fill="auto"/>
            <w:vAlign w:val="bottom"/>
          </w:tcPr>
          <w:p>
            <w:pPr>
              <w:widowControl/>
              <w:jc w:val="center"/>
              <w:textAlignment w:val="bottom"/>
              <w:rPr>
                <w:rFonts w:ascii="Tahoma" w:hAnsi="Tahoma" w:eastAsia="Tahoma" w:cs="Tahoma"/>
                <w:b/>
                <w:bCs/>
                <w:color w:val="595959"/>
                <w:szCs w:val="21"/>
              </w:rPr>
            </w:pPr>
            <w:r>
              <w:rPr>
                <w:rFonts w:ascii="Tahoma" w:hAnsi="Tahoma" w:eastAsia="Tahoma" w:cs="Tahoma"/>
                <w:b/>
                <w:bCs/>
                <w:color w:val="595959"/>
                <w:kern w:val="0"/>
                <w:szCs w:val="21"/>
              </w:rPr>
              <w:t>19</w:t>
            </w:r>
          </w:p>
        </w:tc>
        <w:tc>
          <w:tcPr>
            <w:tcW w:w="151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工会经费</w:t>
            </w:r>
          </w:p>
        </w:tc>
        <w:tc>
          <w:tcPr>
            <w:tcW w:w="1313"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627.56</w:t>
            </w:r>
          </w:p>
        </w:tc>
        <w:tc>
          <w:tcPr>
            <w:tcW w:w="1392"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645.44</w:t>
            </w:r>
          </w:p>
        </w:tc>
        <w:tc>
          <w:tcPr>
            <w:tcW w:w="119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-17.88</w:t>
            </w:r>
          </w:p>
        </w:tc>
        <w:tc>
          <w:tcPr>
            <w:tcW w:w="1238"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-2.77%</w:t>
            </w:r>
          </w:p>
        </w:tc>
        <w:tc>
          <w:tcPr>
            <w:tcW w:w="1550" w:type="dxa"/>
            <w:tcBorders>
              <w:top w:val="nil"/>
              <w:left w:val="nil"/>
              <w:bottom w:val="single" w:color="000000" w:sz="8" w:space="0"/>
              <w:right w:val="single" w:color="000000" w:sz="8" w:space="0"/>
            </w:tcBorders>
            <w:shd w:val="clear" w:color="auto" w:fill="auto"/>
            <w:vAlign w:val="center"/>
          </w:tcPr>
          <w:p>
            <w:pPr>
              <w:widowControl/>
              <w:jc w:val="center"/>
              <w:textAlignment w:val="bottom"/>
              <w:rPr>
                <w:rFonts w:ascii="微软雅黑" w:hAnsi="微软雅黑" w:eastAsia="微软雅黑" w:cs="微软雅黑"/>
                <w:b/>
                <w:bCs/>
                <w:color w:val="595959"/>
                <w:kern w:val="0"/>
                <w:szCs w:val="21"/>
              </w:rPr>
            </w:pPr>
            <w:r>
              <w:rPr>
                <w:rFonts w:hint="eastAsia" w:ascii="微软雅黑" w:hAnsi="微软雅黑" w:eastAsia="微软雅黑" w:cs="微软雅黑"/>
                <w:b/>
                <w:bCs/>
                <w:color w:val="595959"/>
                <w:kern w:val="0"/>
                <w:szCs w:val="21"/>
              </w:rPr>
              <w:t>0.43%</w:t>
            </w:r>
          </w:p>
        </w:tc>
      </w:tr>
      <w:tr>
        <w:tblPrEx>
          <w:tblCellMar>
            <w:top w:w="0" w:type="dxa"/>
            <w:left w:w="108" w:type="dxa"/>
            <w:bottom w:w="0" w:type="dxa"/>
            <w:right w:w="108" w:type="dxa"/>
          </w:tblCellMar>
        </w:tblPrEx>
        <w:trPr>
          <w:trHeight w:val="540" w:hRule="atLeast"/>
        </w:trPr>
        <w:tc>
          <w:tcPr>
            <w:tcW w:w="695" w:type="dxa"/>
            <w:tcBorders>
              <w:top w:val="nil"/>
              <w:left w:val="single" w:color="000000" w:sz="8" w:space="0"/>
              <w:bottom w:val="single" w:color="000000" w:sz="8" w:space="0"/>
              <w:right w:val="single" w:color="000000" w:sz="8" w:space="0"/>
            </w:tcBorders>
            <w:shd w:val="clear" w:color="auto" w:fill="auto"/>
            <w:vAlign w:val="bottom"/>
          </w:tcPr>
          <w:p>
            <w:pPr>
              <w:widowControl/>
              <w:jc w:val="center"/>
              <w:textAlignment w:val="bottom"/>
              <w:rPr>
                <w:rFonts w:ascii="Tahoma" w:hAnsi="Tahoma" w:eastAsia="Tahoma" w:cs="Tahoma"/>
                <w:b/>
                <w:bCs/>
                <w:color w:val="595959"/>
                <w:szCs w:val="21"/>
              </w:rPr>
            </w:pPr>
            <w:r>
              <w:rPr>
                <w:rFonts w:ascii="Tahoma" w:hAnsi="Tahoma" w:eastAsia="Tahoma" w:cs="Tahoma"/>
                <w:b/>
                <w:bCs/>
                <w:color w:val="595959"/>
                <w:kern w:val="0"/>
                <w:szCs w:val="21"/>
              </w:rPr>
              <w:t>20</w:t>
            </w:r>
          </w:p>
        </w:tc>
        <w:tc>
          <w:tcPr>
            <w:tcW w:w="151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福利费</w:t>
            </w:r>
          </w:p>
        </w:tc>
        <w:tc>
          <w:tcPr>
            <w:tcW w:w="1313"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 xml:space="preserve">137.90 </w:t>
            </w:r>
          </w:p>
        </w:tc>
        <w:tc>
          <w:tcPr>
            <w:tcW w:w="1392"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87.14</w:t>
            </w:r>
          </w:p>
        </w:tc>
        <w:tc>
          <w:tcPr>
            <w:tcW w:w="119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50.76</w:t>
            </w:r>
          </w:p>
        </w:tc>
        <w:tc>
          <w:tcPr>
            <w:tcW w:w="1238"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58.25%</w:t>
            </w:r>
          </w:p>
        </w:tc>
        <w:tc>
          <w:tcPr>
            <w:tcW w:w="1550" w:type="dxa"/>
            <w:tcBorders>
              <w:top w:val="nil"/>
              <w:left w:val="nil"/>
              <w:bottom w:val="single" w:color="000000" w:sz="8" w:space="0"/>
              <w:right w:val="single" w:color="000000" w:sz="8" w:space="0"/>
            </w:tcBorders>
            <w:shd w:val="clear" w:color="auto" w:fill="auto"/>
            <w:vAlign w:val="center"/>
          </w:tcPr>
          <w:p>
            <w:pPr>
              <w:widowControl/>
              <w:jc w:val="center"/>
              <w:textAlignment w:val="bottom"/>
              <w:rPr>
                <w:rFonts w:ascii="微软雅黑" w:hAnsi="微软雅黑" w:eastAsia="微软雅黑" w:cs="微软雅黑"/>
                <w:b/>
                <w:bCs/>
                <w:color w:val="595959"/>
                <w:kern w:val="0"/>
                <w:szCs w:val="21"/>
              </w:rPr>
            </w:pPr>
            <w:r>
              <w:rPr>
                <w:rFonts w:hint="eastAsia" w:ascii="微软雅黑" w:hAnsi="微软雅黑" w:eastAsia="微软雅黑" w:cs="微软雅黑"/>
                <w:b/>
                <w:bCs/>
                <w:color w:val="595959"/>
                <w:kern w:val="0"/>
                <w:szCs w:val="21"/>
              </w:rPr>
              <w:t>0.09%</w:t>
            </w:r>
          </w:p>
        </w:tc>
      </w:tr>
      <w:tr>
        <w:tblPrEx>
          <w:tblCellMar>
            <w:top w:w="0" w:type="dxa"/>
            <w:left w:w="108" w:type="dxa"/>
            <w:bottom w:w="0" w:type="dxa"/>
            <w:right w:w="108" w:type="dxa"/>
          </w:tblCellMar>
        </w:tblPrEx>
        <w:trPr>
          <w:trHeight w:val="540" w:hRule="atLeast"/>
        </w:trPr>
        <w:tc>
          <w:tcPr>
            <w:tcW w:w="695" w:type="dxa"/>
            <w:tcBorders>
              <w:top w:val="nil"/>
              <w:left w:val="single" w:color="000000" w:sz="8" w:space="0"/>
              <w:bottom w:val="single" w:color="000000" w:sz="8" w:space="0"/>
              <w:right w:val="single" w:color="000000" w:sz="8" w:space="0"/>
            </w:tcBorders>
            <w:shd w:val="clear" w:color="auto" w:fill="auto"/>
            <w:vAlign w:val="bottom"/>
          </w:tcPr>
          <w:p>
            <w:pPr>
              <w:widowControl/>
              <w:jc w:val="center"/>
              <w:textAlignment w:val="bottom"/>
              <w:rPr>
                <w:rFonts w:ascii="Tahoma" w:hAnsi="Tahoma" w:eastAsia="Tahoma" w:cs="Tahoma"/>
                <w:b/>
                <w:bCs/>
                <w:color w:val="595959"/>
                <w:szCs w:val="21"/>
              </w:rPr>
            </w:pPr>
            <w:r>
              <w:rPr>
                <w:rFonts w:ascii="Tahoma" w:hAnsi="Tahoma" w:eastAsia="Tahoma" w:cs="Tahoma"/>
                <w:b/>
                <w:bCs/>
                <w:color w:val="595959"/>
                <w:kern w:val="0"/>
                <w:szCs w:val="21"/>
              </w:rPr>
              <w:t>21</w:t>
            </w:r>
          </w:p>
        </w:tc>
        <w:tc>
          <w:tcPr>
            <w:tcW w:w="151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印刷费</w:t>
            </w:r>
          </w:p>
        </w:tc>
        <w:tc>
          <w:tcPr>
            <w:tcW w:w="1313"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36.63</w:t>
            </w:r>
          </w:p>
        </w:tc>
        <w:tc>
          <w:tcPr>
            <w:tcW w:w="1392"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35.29</w:t>
            </w:r>
          </w:p>
        </w:tc>
        <w:tc>
          <w:tcPr>
            <w:tcW w:w="119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1.34</w:t>
            </w:r>
          </w:p>
        </w:tc>
        <w:tc>
          <w:tcPr>
            <w:tcW w:w="1238"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3.80%</w:t>
            </w:r>
          </w:p>
        </w:tc>
        <w:tc>
          <w:tcPr>
            <w:tcW w:w="1550" w:type="dxa"/>
            <w:tcBorders>
              <w:top w:val="nil"/>
              <w:left w:val="nil"/>
              <w:bottom w:val="single" w:color="000000" w:sz="8" w:space="0"/>
              <w:right w:val="single" w:color="000000" w:sz="8" w:space="0"/>
            </w:tcBorders>
            <w:shd w:val="clear" w:color="auto" w:fill="auto"/>
            <w:vAlign w:val="center"/>
          </w:tcPr>
          <w:p>
            <w:pPr>
              <w:widowControl/>
              <w:jc w:val="center"/>
              <w:textAlignment w:val="bottom"/>
              <w:rPr>
                <w:rFonts w:ascii="微软雅黑" w:hAnsi="微软雅黑" w:eastAsia="微软雅黑" w:cs="微软雅黑"/>
                <w:b/>
                <w:bCs/>
                <w:color w:val="595959"/>
                <w:kern w:val="0"/>
                <w:szCs w:val="21"/>
              </w:rPr>
            </w:pPr>
            <w:r>
              <w:rPr>
                <w:rFonts w:hint="eastAsia" w:ascii="微软雅黑" w:hAnsi="微软雅黑" w:eastAsia="微软雅黑" w:cs="微软雅黑"/>
                <w:b/>
                <w:bCs/>
                <w:color w:val="595959"/>
                <w:kern w:val="0"/>
                <w:szCs w:val="21"/>
              </w:rPr>
              <w:t>0.02%</w:t>
            </w:r>
          </w:p>
        </w:tc>
      </w:tr>
      <w:tr>
        <w:tblPrEx>
          <w:tblCellMar>
            <w:top w:w="0" w:type="dxa"/>
            <w:left w:w="108" w:type="dxa"/>
            <w:bottom w:w="0" w:type="dxa"/>
            <w:right w:w="108" w:type="dxa"/>
          </w:tblCellMar>
        </w:tblPrEx>
        <w:trPr>
          <w:trHeight w:val="540" w:hRule="atLeast"/>
        </w:trPr>
        <w:tc>
          <w:tcPr>
            <w:tcW w:w="695" w:type="dxa"/>
            <w:tcBorders>
              <w:top w:val="nil"/>
              <w:left w:val="single" w:color="000000" w:sz="8" w:space="0"/>
              <w:bottom w:val="single" w:color="000000" w:sz="8" w:space="0"/>
              <w:right w:val="single" w:color="000000" w:sz="8" w:space="0"/>
            </w:tcBorders>
            <w:shd w:val="clear" w:color="auto" w:fill="auto"/>
            <w:vAlign w:val="bottom"/>
          </w:tcPr>
          <w:p>
            <w:pPr>
              <w:widowControl/>
              <w:jc w:val="center"/>
              <w:textAlignment w:val="bottom"/>
              <w:rPr>
                <w:rFonts w:ascii="Tahoma" w:hAnsi="Tahoma" w:eastAsia="Tahoma" w:cs="Tahoma"/>
                <w:b/>
                <w:bCs/>
                <w:color w:val="595959"/>
                <w:szCs w:val="21"/>
              </w:rPr>
            </w:pPr>
            <w:r>
              <w:rPr>
                <w:rFonts w:ascii="Tahoma" w:hAnsi="Tahoma" w:eastAsia="Tahoma" w:cs="Tahoma"/>
                <w:b/>
                <w:bCs/>
                <w:color w:val="595959"/>
                <w:kern w:val="0"/>
                <w:szCs w:val="21"/>
              </w:rPr>
              <w:t>22</w:t>
            </w:r>
          </w:p>
        </w:tc>
        <w:tc>
          <w:tcPr>
            <w:tcW w:w="151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咨询费</w:t>
            </w:r>
          </w:p>
        </w:tc>
        <w:tc>
          <w:tcPr>
            <w:tcW w:w="1313"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337.01</w:t>
            </w:r>
          </w:p>
        </w:tc>
        <w:tc>
          <w:tcPr>
            <w:tcW w:w="1392"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295.29</w:t>
            </w:r>
          </w:p>
        </w:tc>
        <w:tc>
          <w:tcPr>
            <w:tcW w:w="119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41.72</w:t>
            </w:r>
          </w:p>
        </w:tc>
        <w:tc>
          <w:tcPr>
            <w:tcW w:w="1238"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14.13%</w:t>
            </w:r>
          </w:p>
        </w:tc>
        <w:tc>
          <w:tcPr>
            <w:tcW w:w="1550" w:type="dxa"/>
            <w:tcBorders>
              <w:top w:val="nil"/>
              <w:left w:val="nil"/>
              <w:bottom w:val="single" w:color="000000" w:sz="8" w:space="0"/>
              <w:right w:val="single" w:color="000000" w:sz="8" w:space="0"/>
            </w:tcBorders>
            <w:shd w:val="clear" w:color="auto" w:fill="auto"/>
            <w:vAlign w:val="center"/>
          </w:tcPr>
          <w:p>
            <w:pPr>
              <w:widowControl/>
              <w:jc w:val="center"/>
              <w:textAlignment w:val="bottom"/>
              <w:rPr>
                <w:rFonts w:ascii="微软雅黑" w:hAnsi="微软雅黑" w:eastAsia="微软雅黑" w:cs="微软雅黑"/>
                <w:b/>
                <w:bCs/>
                <w:color w:val="595959"/>
                <w:kern w:val="0"/>
                <w:szCs w:val="21"/>
              </w:rPr>
            </w:pPr>
            <w:r>
              <w:rPr>
                <w:rFonts w:hint="eastAsia" w:ascii="微软雅黑" w:hAnsi="微软雅黑" w:eastAsia="微软雅黑" w:cs="微软雅黑"/>
                <w:b/>
                <w:bCs/>
                <w:color w:val="595959"/>
                <w:kern w:val="0"/>
                <w:szCs w:val="21"/>
              </w:rPr>
              <w:t>0.23%</w:t>
            </w:r>
          </w:p>
        </w:tc>
      </w:tr>
      <w:tr>
        <w:tblPrEx>
          <w:tblCellMar>
            <w:top w:w="0" w:type="dxa"/>
            <w:left w:w="108" w:type="dxa"/>
            <w:bottom w:w="0" w:type="dxa"/>
            <w:right w:w="108" w:type="dxa"/>
          </w:tblCellMar>
        </w:tblPrEx>
        <w:trPr>
          <w:trHeight w:val="540" w:hRule="atLeast"/>
        </w:trPr>
        <w:tc>
          <w:tcPr>
            <w:tcW w:w="695" w:type="dxa"/>
            <w:tcBorders>
              <w:top w:val="nil"/>
              <w:left w:val="single" w:color="000000" w:sz="8" w:space="0"/>
              <w:bottom w:val="single" w:color="000000" w:sz="8" w:space="0"/>
              <w:right w:val="single" w:color="000000" w:sz="8" w:space="0"/>
            </w:tcBorders>
            <w:shd w:val="clear" w:color="auto" w:fill="auto"/>
            <w:vAlign w:val="bottom"/>
          </w:tcPr>
          <w:p>
            <w:pPr>
              <w:widowControl/>
              <w:jc w:val="center"/>
              <w:textAlignment w:val="bottom"/>
              <w:rPr>
                <w:rFonts w:ascii="Tahoma" w:hAnsi="Tahoma" w:eastAsia="Tahoma" w:cs="Tahoma"/>
                <w:b/>
                <w:bCs/>
                <w:color w:val="595959"/>
                <w:szCs w:val="21"/>
              </w:rPr>
            </w:pPr>
            <w:r>
              <w:rPr>
                <w:rFonts w:ascii="Tahoma" w:hAnsi="Tahoma" w:eastAsia="Tahoma" w:cs="Tahoma"/>
                <w:b/>
                <w:bCs/>
                <w:color w:val="595959"/>
                <w:kern w:val="0"/>
                <w:szCs w:val="21"/>
              </w:rPr>
              <w:t>23</w:t>
            </w:r>
          </w:p>
        </w:tc>
        <w:tc>
          <w:tcPr>
            <w:tcW w:w="151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手续费</w:t>
            </w:r>
          </w:p>
        </w:tc>
        <w:tc>
          <w:tcPr>
            <w:tcW w:w="1313"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17.35</w:t>
            </w:r>
          </w:p>
        </w:tc>
        <w:tc>
          <w:tcPr>
            <w:tcW w:w="1392"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11.74</w:t>
            </w:r>
          </w:p>
        </w:tc>
        <w:tc>
          <w:tcPr>
            <w:tcW w:w="119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5.61</w:t>
            </w:r>
          </w:p>
        </w:tc>
        <w:tc>
          <w:tcPr>
            <w:tcW w:w="1238"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47.79%</w:t>
            </w:r>
          </w:p>
        </w:tc>
        <w:tc>
          <w:tcPr>
            <w:tcW w:w="1550" w:type="dxa"/>
            <w:tcBorders>
              <w:top w:val="nil"/>
              <w:left w:val="nil"/>
              <w:bottom w:val="single" w:color="000000" w:sz="8" w:space="0"/>
              <w:right w:val="single" w:color="000000" w:sz="8" w:space="0"/>
            </w:tcBorders>
            <w:shd w:val="clear" w:color="auto" w:fill="auto"/>
            <w:vAlign w:val="center"/>
          </w:tcPr>
          <w:p>
            <w:pPr>
              <w:widowControl/>
              <w:jc w:val="center"/>
              <w:textAlignment w:val="bottom"/>
              <w:rPr>
                <w:rFonts w:ascii="微软雅黑" w:hAnsi="微软雅黑" w:eastAsia="微软雅黑" w:cs="微软雅黑"/>
                <w:b/>
                <w:bCs/>
                <w:color w:val="595959"/>
                <w:kern w:val="0"/>
                <w:szCs w:val="21"/>
              </w:rPr>
            </w:pPr>
            <w:r>
              <w:rPr>
                <w:rFonts w:hint="eastAsia" w:ascii="微软雅黑" w:hAnsi="微软雅黑" w:eastAsia="微软雅黑" w:cs="微软雅黑"/>
                <w:b/>
                <w:bCs/>
                <w:color w:val="595959"/>
                <w:kern w:val="0"/>
                <w:szCs w:val="21"/>
              </w:rPr>
              <w:t>0.01%</w:t>
            </w:r>
          </w:p>
        </w:tc>
      </w:tr>
      <w:tr>
        <w:tblPrEx>
          <w:tblCellMar>
            <w:top w:w="0" w:type="dxa"/>
            <w:left w:w="108" w:type="dxa"/>
            <w:bottom w:w="0" w:type="dxa"/>
            <w:right w:w="108" w:type="dxa"/>
          </w:tblCellMar>
        </w:tblPrEx>
        <w:trPr>
          <w:trHeight w:val="540" w:hRule="atLeast"/>
        </w:trPr>
        <w:tc>
          <w:tcPr>
            <w:tcW w:w="695" w:type="dxa"/>
            <w:tcBorders>
              <w:top w:val="nil"/>
              <w:left w:val="single" w:color="000000" w:sz="8" w:space="0"/>
              <w:bottom w:val="single" w:color="000000" w:sz="8" w:space="0"/>
              <w:right w:val="single" w:color="000000" w:sz="8" w:space="0"/>
            </w:tcBorders>
            <w:shd w:val="clear" w:color="auto" w:fill="auto"/>
            <w:vAlign w:val="bottom"/>
          </w:tcPr>
          <w:p>
            <w:pPr>
              <w:widowControl/>
              <w:jc w:val="center"/>
              <w:textAlignment w:val="bottom"/>
              <w:rPr>
                <w:rFonts w:ascii="Tahoma" w:hAnsi="Tahoma" w:eastAsia="Tahoma" w:cs="Tahoma"/>
                <w:b/>
                <w:bCs/>
                <w:color w:val="595959"/>
                <w:szCs w:val="21"/>
              </w:rPr>
            </w:pPr>
            <w:r>
              <w:rPr>
                <w:rFonts w:ascii="Tahoma" w:hAnsi="Tahoma" w:eastAsia="Tahoma" w:cs="Tahoma"/>
                <w:b/>
                <w:bCs/>
                <w:color w:val="595959"/>
                <w:kern w:val="0"/>
                <w:szCs w:val="21"/>
              </w:rPr>
              <w:t>24</w:t>
            </w:r>
          </w:p>
        </w:tc>
        <w:tc>
          <w:tcPr>
            <w:tcW w:w="151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租赁费</w:t>
            </w:r>
          </w:p>
        </w:tc>
        <w:tc>
          <w:tcPr>
            <w:tcW w:w="1313"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65.92</w:t>
            </w:r>
          </w:p>
        </w:tc>
        <w:tc>
          <w:tcPr>
            <w:tcW w:w="1392"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204.1</w:t>
            </w:r>
          </w:p>
        </w:tc>
        <w:tc>
          <w:tcPr>
            <w:tcW w:w="119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-138.18</w:t>
            </w:r>
          </w:p>
        </w:tc>
        <w:tc>
          <w:tcPr>
            <w:tcW w:w="1238"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-67.70%</w:t>
            </w:r>
          </w:p>
        </w:tc>
        <w:tc>
          <w:tcPr>
            <w:tcW w:w="1550" w:type="dxa"/>
            <w:tcBorders>
              <w:top w:val="nil"/>
              <w:left w:val="nil"/>
              <w:bottom w:val="single" w:color="000000" w:sz="8" w:space="0"/>
              <w:right w:val="single" w:color="000000" w:sz="8" w:space="0"/>
            </w:tcBorders>
            <w:shd w:val="clear" w:color="auto" w:fill="auto"/>
            <w:vAlign w:val="center"/>
          </w:tcPr>
          <w:p>
            <w:pPr>
              <w:widowControl/>
              <w:jc w:val="center"/>
              <w:textAlignment w:val="bottom"/>
              <w:rPr>
                <w:rFonts w:ascii="微软雅黑" w:hAnsi="微软雅黑" w:eastAsia="微软雅黑" w:cs="微软雅黑"/>
                <w:b/>
                <w:bCs/>
                <w:color w:val="595959"/>
                <w:kern w:val="0"/>
                <w:szCs w:val="21"/>
              </w:rPr>
            </w:pPr>
            <w:r>
              <w:rPr>
                <w:rFonts w:hint="eastAsia" w:ascii="微软雅黑" w:hAnsi="微软雅黑" w:eastAsia="微软雅黑" w:cs="微软雅黑"/>
                <w:b/>
                <w:bCs/>
                <w:color w:val="595959"/>
                <w:kern w:val="0"/>
                <w:szCs w:val="21"/>
              </w:rPr>
              <w:t>0.04%</w:t>
            </w:r>
          </w:p>
        </w:tc>
      </w:tr>
      <w:tr>
        <w:tblPrEx>
          <w:tblCellMar>
            <w:top w:w="0" w:type="dxa"/>
            <w:left w:w="108" w:type="dxa"/>
            <w:bottom w:w="0" w:type="dxa"/>
            <w:right w:w="108" w:type="dxa"/>
          </w:tblCellMar>
        </w:tblPrEx>
        <w:trPr>
          <w:trHeight w:val="540" w:hRule="atLeast"/>
        </w:trPr>
        <w:tc>
          <w:tcPr>
            <w:tcW w:w="695" w:type="dxa"/>
            <w:tcBorders>
              <w:top w:val="nil"/>
              <w:left w:val="single" w:color="000000" w:sz="8" w:space="0"/>
              <w:bottom w:val="single" w:color="000000" w:sz="8" w:space="0"/>
              <w:right w:val="single" w:color="000000" w:sz="8" w:space="0"/>
            </w:tcBorders>
            <w:shd w:val="clear" w:color="auto" w:fill="auto"/>
            <w:vAlign w:val="bottom"/>
          </w:tcPr>
          <w:p>
            <w:pPr>
              <w:widowControl/>
              <w:jc w:val="center"/>
              <w:textAlignment w:val="bottom"/>
              <w:rPr>
                <w:rFonts w:ascii="Tahoma" w:hAnsi="Tahoma" w:eastAsia="Tahoma" w:cs="Tahoma"/>
                <w:b/>
                <w:bCs/>
                <w:color w:val="595959"/>
                <w:szCs w:val="21"/>
              </w:rPr>
            </w:pPr>
            <w:r>
              <w:rPr>
                <w:rFonts w:ascii="Tahoma" w:hAnsi="Tahoma" w:eastAsia="Tahoma" w:cs="Tahoma"/>
                <w:b/>
                <w:bCs/>
                <w:color w:val="595959"/>
                <w:kern w:val="0"/>
                <w:szCs w:val="21"/>
              </w:rPr>
              <w:t>25</w:t>
            </w:r>
          </w:p>
        </w:tc>
        <w:tc>
          <w:tcPr>
            <w:tcW w:w="151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宣传费</w:t>
            </w:r>
          </w:p>
        </w:tc>
        <w:tc>
          <w:tcPr>
            <w:tcW w:w="1313"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96.16</w:t>
            </w:r>
          </w:p>
        </w:tc>
        <w:tc>
          <w:tcPr>
            <w:tcW w:w="1392"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107.12</w:t>
            </w:r>
          </w:p>
        </w:tc>
        <w:tc>
          <w:tcPr>
            <w:tcW w:w="119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-10.96</w:t>
            </w:r>
          </w:p>
        </w:tc>
        <w:tc>
          <w:tcPr>
            <w:tcW w:w="1238"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-10.23%</w:t>
            </w:r>
          </w:p>
        </w:tc>
        <w:tc>
          <w:tcPr>
            <w:tcW w:w="1550" w:type="dxa"/>
            <w:tcBorders>
              <w:top w:val="nil"/>
              <w:left w:val="nil"/>
              <w:bottom w:val="single" w:color="000000" w:sz="8" w:space="0"/>
              <w:right w:val="single" w:color="000000" w:sz="8" w:space="0"/>
            </w:tcBorders>
            <w:shd w:val="clear" w:color="auto" w:fill="auto"/>
            <w:vAlign w:val="center"/>
          </w:tcPr>
          <w:p>
            <w:pPr>
              <w:widowControl/>
              <w:jc w:val="center"/>
              <w:textAlignment w:val="bottom"/>
              <w:rPr>
                <w:rFonts w:ascii="微软雅黑" w:hAnsi="微软雅黑" w:eastAsia="微软雅黑" w:cs="微软雅黑"/>
                <w:b/>
                <w:bCs/>
                <w:color w:val="595959"/>
                <w:kern w:val="0"/>
                <w:szCs w:val="21"/>
              </w:rPr>
            </w:pPr>
            <w:r>
              <w:rPr>
                <w:rFonts w:hint="eastAsia" w:ascii="微软雅黑" w:hAnsi="微软雅黑" w:eastAsia="微软雅黑" w:cs="微软雅黑"/>
                <w:b/>
                <w:bCs/>
                <w:color w:val="595959"/>
                <w:kern w:val="0"/>
                <w:szCs w:val="21"/>
              </w:rPr>
              <w:t>0.07%</w:t>
            </w:r>
          </w:p>
        </w:tc>
      </w:tr>
      <w:tr>
        <w:tblPrEx>
          <w:tblCellMar>
            <w:top w:w="0" w:type="dxa"/>
            <w:left w:w="108" w:type="dxa"/>
            <w:bottom w:w="0" w:type="dxa"/>
            <w:right w:w="108" w:type="dxa"/>
          </w:tblCellMar>
        </w:tblPrEx>
        <w:trPr>
          <w:trHeight w:val="636" w:hRule="atLeast"/>
        </w:trPr>
        <w:tc>
          <w:tcPr>
            <w:tcW w:w="695" w:type="dxa"/>
            <w:tcBorders>
              <w:top w:val="nil"/>
              <w:left w:val="single" w:color="000000" w:sz="8" w:space="0"/>
              <w:bottom w:val="single" w:color="000000" w:sz="8" w:space="0"/>
              <w:right w:val="single" w:color="000000" w:sz="8" w:space="0"/>
            </w:tcBorders>
            <w:shd w:val="clear" w:color="auto" w:fill="auto"/>
            <w:vAlign w:val="bottom"/>
          </w:tcPr>
          <w:p>
            <w:pPr>
              <w:widowControl/>
              <w:jc w:val="center"/>
              <w:textAlignment w:val="bottom"/>
              <w:rPr>
                <w:rFonts w:ascii="Tahoma" w:hAnsi="Tahoma" w:eastAsia="Tahoma" w:cs="Tahoma"/>
                <w:b/>
                <w:bCs/>
                <w:color w:val="595959"/>
                <w:szCs w:val="21"/>
              </w:rPr>
            </w:pPr>
            <w:r>
              <w:rPr>
                <w:rFonts w:ascii="Tahoma" w:hAnsi="Tahoma" w:eastAsia="Tahoma" w:cs="Tahoma"/>
                <w:b/>
                <w:bCs/>
                <w:color w:val="595959"/>
                <w:kern w:val="0"/>
                <w:szCs w:val="21"/>
              </w:rPr>
              <w:t>26</w:t>
            </w:r>
          </w:p>
        </w:tc>
        <w:tc>
          <w:tcPr>
            <w:tcW w:w="151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利息费</w:t>
            </w:r>
          </w:p>
        </w:tc>
        <w:tc>
          <w:tcPr>
            <w:tcW w:w="1313"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 xml:space="preserve">346.90 </w:t>
            </w:r>
          </w:p>
        </w:tc>
        <w:tc>
          <w:tcPr>
            <w:tcW w:w="1392"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433.58</w:t>
            </w:r>
          </w:p>
        </w:tc>
        <w:tc>
          <w:tcPr>
            <w:tcW w:w="119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-86.68</w:t>
            </w:r>
          </w:p>
        </w:tc>
        <w:tc>
          <w:tcPr>
            <w:tcW w:w="1238"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-19.99%</w:t>
            </w:r>
          </w:p>
        </w:tc>
        <w:tc>
          <w:tcPr>
            <w:tcW w:w="1550" w:type="dxa"/>
            <w:tcBorders>
              <w:top w:val="nil"/>
              <w:left w:val="nil"/>
              <w:bottom w:val="single" w:color="000000" w:sz="8" w:space="0"/>
              <w:right w:val="single" w:color="000000" w:sz="8" w:space="0"/>
            </w:tcBorders>
            <w:shd w:val="clear" w:color="auto" w:fill="auto"/>
            <w:vAlign w:val="center"/>
          </w:tcPr>
          <w:p>
            <w:pPr>
              <w:widowControl/>
              <w:jc w:val="center"/>
              <w:textAlignment w:val="bottom"/>
              <w:rPr>
                <w:rFonts w:ascii="微软雅黑" w:hAnsi="微软雅黑" w:eastAsia="微软雅黑" w:cs="微软雅黑"/>
                <w:b/>
                <w:bCs/>
                <w:color w:val="595959"/>
                <w:kern w:val="0"/>
                <w:szCs w:val="21"/>
              </w:rPr>
            </w:pPr>
            <w:r>
              <w:rPr>
                <w:rFonts w:hint="eastAsia" w:ascii="微软雅黑" w:hAnsi="微软雅黑" w:eastAsia="微软雅黑" w:cs="微软雅黑"/>
                <w:b/>
                <w:bCs/>
                <w:color w:val="595959"/>
                <w:kern w:val="0"/>
                <w:szCs w:val="21"/>
              </w:rPr>
              <w:t>0.24%</w:t>
            </w:r>
          </w:p>
        </w:tc>
      </w:tr>
      <w:tr>
        <w:tblPrEx>
          <w:tblCellMar>
            <w:top w:w="0" w:type="dxa"/>
            <w:left w:w="108" w:type="dxa"/>
            <w:bottom w:w="0" w:type="dxa"/>
            <w:right w:w="108" w:type="dxa"/>
          </w:tblCellMar>
        </w:tblPrEx>
        <w:trPr>
          <w:trHeight w:val="540" w:hRule="atLeast"/>
        </w:trPr>
        <w:tc>
          <w:tcPr>
            <w:tcW w:w="695" w:type="dxa"/>
            <w:tcBorders>
              <w:top w:val="nil"/>
              <w:left w:val="single" w:color="000000" w:sz="8" w:space="0"/>
              <w:bottom w:val="single" w:color="000000" w:sz="8" w:space="0"/>
              <w:right w:val="single" w:color="000000" w:sz="8" w:space="0"/>
            </w:tcBorders>
            <w:shd w:val="clear" w:color="auto" w:fill="auto"/>
            <w:vAlign w:val="bottom"/>
          </w:tcPr>
          <w:p>
            <w:pPr>
              <w:widowControl/>
              <w:jc w:val="center"/>
              <w:textAlignment w:val="bottom"/>
              <w:rPr>
                <w:rFonts w:ascii="Tahoma" w:hAnsi="Tahoma" w:eastAsia="Tahoma" w:cs="Tahoma"/>
                <w:b/>
                <w:bCs/>
                <w:color w:val="595959"/>
                <w:szCs w:val="21"/>
              </w:rPr>
            </w:pPr>
            <w:r>
              <w:rPr>
                <w:rFonts w:ascii="Tahoma" w:hAnsi="Tahoma" w:eastAsia="Tahoma" w:cs="Tahoma"/>
                <w:b/>
                <w:bCs/>
                <w:color w:val="595959"/>
                <w:kern w:val="0"/>
                <w:szCs w:val="21"/>
              </w:rPr>
              <w:t>27</w:t>
            </w:r>
          </w:p>
        </w:tc>
        <w:tc>
          <w:tcPr>
            <w:tcW w:w="151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公务用车运行</w:t>
            </w:r>
          </w:p>
        </w:tc>
        <w:tc>
          <w:tcPr>
            <w:tcW w:w="1313"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36.97</w:t>
            </w:r>
          </w:p>
        </w:tc>
        <w:tc>
          <w:tcPr>
            <w:tcW w:w="1392"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26.27</w:t>
            </w:r>
          </w:p>
        </w:tc>
        <w:tc>
          <w:tcPr>
            <w:tcW w:w="119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10.7</w:t>
            </w:r>
          </w:p>
        </w:tc>
        <w:tc>
          <w:tcPr>
            <w:tcW w:w="1238"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40.73%</w:t>
            </w:r>
          </w:p>
        </w:tc>
        <w:tc>
          <w:tcPr>
            <w:tcW w:w="1550" w:type="dxa"/>
            <w:tcBorders>
              <w:top w:val="nil"/>
              <w:left w:val="nil"/>
              <w:bottom w:val="single" w:color="000000" w:sz="8" w:space="0"/>
              <w:right w:val="single" w:color="000000" w:sz="8" w:space="0"/>
            </w:tcBorders>
            <w:shd w:val="clear" w:color="auto" w:fill="auto"/>
            <w:vAlign w:val="center"/>
          </w:tcPr>
          <w:p>
            <w:pPr>
              <w:widowControl/>
              <w:jc w:val="center"/>
              <w:textAlignment w:val="bottom"/>
              <w:rPr>
                <w:rFonts w:ascii="微软雅黑" w:hAnsi="微软雅黑" w:eastAsia="微软雅黑" w:cs="微软雅黑"/>
                <w:b/>
                <w:bCs/>
                <w:color w:val="595959"/>
                <w:kern w:val="0"/>
                <w:szCs w:val="21"/>
              </w:rPr>
            </w:pPr>
            <w:r>
              <w:rPr>
                <w:rFonts w:hint="eastAsia" w:ascii="微软雅黑" w:hAnsi="微软雅黑" w:eastAsia="微软雅黑" w:cs="微软雅黑"/>
                <w:b/>
                <w:bCs/>
                <w:color w:val="595959"/>
                <w:kern w:val="0"/>
                <w:szCs w:val="21"/>
              </w:rPr>
              <w:t>0.03%</w:t>
            </w:r>
          </w:p>
        </w:tc>
      </w:tr>
      <w:tr>
        <w:tblPrEx>
          <w:tblCellMar>
            <w:top w:w="0" w:type="dxa"/>
            <w:left w:w="108" w:type="dxa"/>
            <w:bottom w:w="0" w:type="dxa"/>
            <w:right w:w="108" w:type="dxa"/>
          </w:tblCellMar>
        </w:tblPrEx>
        <w:trPr>
          <w:trHeight w:val="540" w:hRule="atLeast"/>
        </w:trPr>
        <w:tc>
          <w:tcPr>
            <w:tcW w:w="695" w:type="dxa"/>
            <w:tcBorders>
              <w:top w:val="nil"/>
              <w:left w:val="single" w:color="000000" w:sz="8" w:space="0"/>
              <w:bottom w:val="single" w:color="000000" w:sz="8" w:space="0"/>
              <w:right w:val="single" w:color="000000" w:sz="8" w:space="0"/>
            </w:tcBorders>
            <w:shd w:val="clear" w:color="auto" w:fill="auto"/>
            <w:vAlign w:val="bottom"/>
          </w:tcPr>
          <w:p>
            <w:pPr>
              <w:widowControl/>
              <w:jc w:val="center"/>
              <w:textAlignment w:val="bottom"/>
              <w:rPr>
                <w:rFonts w:ascii="Tahoma" w:hAnsi="Tahoma" w:eastAsia="Tahoma" w:cs="Tahoma"/>
                <w:b/>
                <w:bCs/>
                <w:color w:val="595959"/>
                <w:szCs w:val="21"/>
              </w:rPr>
            </w:pPr>
            <w:r>
              <w:rPr>
                <w:rFonts w:ascii="Tahoma" w:hAnsi="Tahoma" w:eastAsia="Tahoma" w:cs="Tahoma"/>
                <w:b/>
                <w:bCs/>
                <w:color w:val="595959"/>
                <w:kern w:val="0"/>
                <w:szCs w:val="21"/>
              </w:rPr>
              <w:t>28</w:t>
            </w:r>
          </w:p>
        </w:tc>
        <w:tc>
          <w:tcPr>
            <w:tcW w:w="151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其他交通费</w:t>
            </w:r>
          </w:p>
        </w:tc>
        <w:tc>
          <w:tcPr>
            <w:tcW w:w="1313"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1.26</w:t>
            </w:r>
          </w:p>
        </w:tc>
        <w:tc>
          <w:tcPr>
            <w:tcW w:w="1392"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0.62</w:t>
            </w:r>
          </w:p>
        </w:tc>
        <w:tc>
          <w:tcPr>
            <w:tcW w:w="119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0.64</w:t>
            </w:r>
          </w:p>
        </w:tc>
        <w:tc>
          <w:tcPr>
            <w:tcW w:w="1238"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103.23%</w:t>
            </w:r>
          </w:p>
        </w:tc>
        <w:tc>
          <w:tcPr>
            <w:tcW w:w="1550" w:type="dxa"/>
            <w:tcBorders>
              <w:top w:val="nil"/>
              <w:left w:val="nil"/>
              <w:bottom w:val="single" w:color="000000" w:sz="8" w:space="0"/>
              <w:right w:val="single" w:color="000000" w:sz="8" w:space="0"/>
            </w:tcBorders>
            <w:shd w:val="clear" w:color="auto" w:fill="auto"/>
            <w:vAlign w:val="center"/>
          </w:tcPr>
          <w:p>
            <w:pPr>
              <w:rPr>
                <w:rFonts w:ascii="微软雅黑" w:hAnsi="微软雅黑" w:eastAsia="微软雅黑" w:cs="微软雅黑"/>
                <w:b/>
                <w:bCs/>
                <w:color w:val="595959"/>
                <w:kern w:val="0"/>
                <w:szCs w:val="21"/>
              </w:rPr>
            </w:pPr>
          </w:p>
        </w:tc>
      </w:tr>
      <w:tr>
        <w:tblPrEx>
          <w:tblCellMar>
            <w:top w:w="0" w:type="dxa"/>
            <w:left w:w="108" w:type="dxa"/>
            <w:bottom w:w="0" w:type="dxa"/>
            <w:right w:w="108" w:type="dxa"/>
          </w:tblCellMar>
        </w:tblPrEx>
        <w:trPr>
          <w:trHeight w:val="540" w:hRule="atLeast"/>
        </w:trPr>
        <w:tc>
          <w:tcPr>
            <w:tcW w:w="695" w:type="dxa"/>
            <w:tcBorders>
              <w:top w:val="nil"/>
              <w:left w:val="single" w:color="000000" w:sz="8" w:space="0"/>
              <w:bottom w:val="single" w:color="000000" w:sz="8" w:space="0"/>
              <w:right w:val="single" w:color="000000" w:sz="8" w:space="0"/>
            </w:tcBorders>
            <w:shd w:val="clear" w:color="auto" w:fill="auto"/>
            <w:vAlign w:val="bottom"/>
          </w:tcPr>
          <w:p>
            <w:pPr>
              <w:widowControl/>
              <w:jc w:val="center"/>
              <w:textAlignment w:val="bottom"/>
              <w:rPr>
                <w:rFonts w:ascii="Tahoma" w:hAnsi="Tahoma" w:eastAsia="Tahoma" w:cs="Tahoma"/>
                <w:b/>
                <w:bCs/>
                <w:color w:val="595959"/>
                <w:szCs w:val="21"/>
              </w:rPr>
            </w:pPr>
            <w:r>
              <w:rPr>
                <w:rFonts w:ascii="Tahoma" w:hAnsi="Tahoma" w:eastAsia="Tahoma" w:cs="Tahoma"/>
                <w:b/>
                <w:bCs/>
                <w:color w:val="595959"/>
                <w:kern w:val="0"/>
                <w:szCs w:val="21"/>
              </w:rPr>
              <w:t>29</w:t>
            </w:r>
          </w:p>
        </w:tc>
        <w:tc>
          <w:tcPr>
            <w:tcW w:w="151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其他商品支出</w:t>
            </w:r>
          </w:p>
        </w:tc>
        <w:tc>
          <w:tcPr>
            <w:tcW w:w="1313"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267.79</w:t>
            </w:r>
          </w:p>
        </w:tc>
        <w:tc>
          <w:tcPr>
            <w:tcW w:w="1392"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277.68</w:t>
            </w:r>
          </w:p>
        </w:tc>
        <w:tc>
          <w:tcPr>
            <w:tcW w:w="119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-9.89</w:t>
            </w:r>
          </w:p>
        </w:tc>
        <w:tc>
          <w:tcPr>
            <w:tcW w:w="1238"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-3.56%</w:t>
            </w:r>
          </w:p>
        </w:tc>
        <w:tc>
          <w:tcPr>
            <w:tcW w:w="1550" w:type="dxa"/>
            <w:tcBorders>
              <w:top w:val="nil"/>
              <w:left w:val="nil"/>
              <w:bottom w:val="single" w:color="000000" w:sz="8" w:space="0"/>
              <w:right w:val="single" w:color="000000" w:sz="8" w:space="0"/>
            </w:tcBorders>
            <w:shd w:val="clear" w:color="auto" w:fill="auto"/>
            <w:vAlign w:val="center"/>
          </w:tcPr>
          <w:p>
            <w:pPr>
              <w:widowControl/>
              <w:jc w:val="center"/>
              <w:textAlignment w:val="bottom"/>
              <w:rPr>
                <w:rFonts w:ascii="微软雅黑" w:hAnsi="微软雅黑" w:eastAsia="微软雅黑" w:cs="微软雅黑"/>
                <w:b/>
                <w:bCs/>
                <w:color w:val="595959"/>
                <w:kern w:val="0"/>
                <w:szCs w:val="21"/>
              </w:rPr>
            </w:pPr>
            <w:r>
              <w:rPr>
                <w:rFonts w:hint="eastAsia" w:ascii="微软雅黑" w:hAnsi="微软雅黑" w:eastAsia="微软雅黑" w:cs="微软雅黑"/>
                <w:b/>
                <w:bCs/>
                <w:color w:val="595959"/>
                <w:kern w:val="0"/>
                <w:szCs w:val="21"/>
              </w:rPr>
              <w:t>0.18%</w:t>
            </w:r>
          </w:p>
        </w:tc>
      </w:tr>
      <w:tr>
        <w:tblPrEx>
          <w:tblCellMar>
            <w:top w:w="0" w:type="dxa"/>
            <w:left w:w="108" w:type="dxa"/>
            <w:bottom w:w="0" w:type="dxa"/>
            <w:right w:w="108" w:type="dxa"/>
          </w:tblCellMar>
        </w:tblPrEx>
        <w:trPr>
          <w:trHeight w:val="540" w:hRule="atLeast"/>
        </w:trPr>
        <w:tc>
          <w:tcPr>
            <w:tcW w:w="695" w:type="dxa"/>
            <w:tcBorders>
              <w:top w:val="nil"/>
              <w:left w:val="single" w:color="000000" w:sz="8" w:space="0"/>
              <w:bottom w:val="single" w:color="000000" w:sz="8" w:space="0"/>
              <w:right w:val="single" w:color="000000" w:sz="8" w:space="0"/>
            </w:tcBorders>
            <w:shd w:val="clear" w:color="auto" w:fill="auto"/>
            <w:vAlign w:val="bottom"/>
          </w:tcPr>
          <w:p>
            <w:pPr>
              <w:widowControl/>
              <w:jc w:val="center"/>
              <w:textAlignment w:val="bottom"/>
              <w:rPr>
                <w:rFonts w:ascii="Tahoma" w:hAnsi="Tahoma" w:eastAsia="Tahoma" w:cs="Tahoma"/>
                <w:b/>
                <w:bCs/>
                <w:color w:val="595959"/>
                <w:szCs w:val="21"/>
              </w:rPr>
            </w:pPr>
            <w:r>
              <w:rPr>
                <w:rFonts w:ascii="Tahoma" w:hAnsi="Tahoma" w:eastAsia="Tahoma" w:cs="Tahoma"/>
                <w:b/>
                <w:bCs/>
                <w:color w:val="595959"/>
                <w:kern w:val="0"/>
                <w:szCs w:val="21"/>
              </w:rPr>
              <w:t>30</w:t>
            </w:r>
          </w:p>
        </w:tc>
        <w:tc>
          <w:tcPr>
            <w:tcW w:w="151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低值易耗品</w:t>
            </w:r>
          </w:p>
        </w:tc>
        <w:tc>
          <w:tcPr>
            <w:tcW w:w="1313"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106.76</w:t>
            </w:r>
          </w:p>
        </w:tc>
        <w:tc>
          <w:tcPr>
            <w:tcW w:w="1392"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118.76</w:t>
            </w:r>
          </w:p>
        </w:tc>
        <w:tc>
          <w:tcPr>
            <w:tcW w:w="119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-12</w:t>
            </w:r>
          </w:p>
        </w:tc>
        <w:tc>
          <w:tcPr>
            <w:tcW w:w="1238"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-10.10%</w:t>
            </w:r>
          </w:p>
        </w:tc>
        <w:tc>
          <w:tcPr>
            <w:tcW w:w="1550" w:type="dxa"/>
            <w:tcBorders>
              <w:top w:val="nil"/>
              <w:left w:val="nil"/>
              <w:bottom w:val="single" w:color="000000" w:sz="8" w:space="0"/>
              <w:right w:val="single" w:color="000000" w:sz="8" w:space="0"/>
            </w:tcBorders>
            <w:shd w:val="clear" w:color="auto" w:fill="auto"/>
            <w:vAlign w:val="center"/>
          </w:tcPr>
          <w:p>
            <w:pPr>
              <w:widowControl/>
              <w:jc w:val="center"/>
              <w:textAlignment w:val="bottom"/>
              <w:rPr>
                <w:rFonts w:ascii="微软雅黑" w:hAnsi="微软雅黑" w:eastAsia="微软雅黑" w:cs="微软雅黑"/>
                <w:b/>
                <w:bCs/>
                <w:color w:val="595959"/>
                <w:kern w:val="0"/>
                <w:szCs w:val="21"/>
              </w:rPr>
            </w:pPr>
            <w:r>
              <w:rPr>
                <w:rFonts w:hint="eastAsia" w:ascii="微软雅黑" w:hAnsi="微软雅黑" w:eastAsia="微软雅黑" w:cs="微软雅黑"/>
                <w:b/>
                <w:bCs/>
                <w:color w:val="595959"/>
                <w:kern w:val="0"/>
                <w:szCs w:val="21"/>
              </w:rPr>
              <w:t>0.07%</w:t>
            </w:r>
          </w:p>
        </w:tc>
      </w:tr>
      <w:tr>
        <w:tblPrEx>
          <w:tblCellMar>
            <w:top w:w="0" w:type="dxa"/>
            <w:left w:w="108" w:type="dxa"/>
            <w:bottom w:w="0" w:type="dxa"/>
            <w:right w:w="108" w:type="dxa"/>
          </w:tblCellMar>
        </w:tblPrEx>
        <w:trPr>
          <w:trHeight w:val="540" w:hRule="atLeast"/>
        </w:trPr>
        <w:tc>
          <w:tcPr>
            <w:tcW w:w="695" w:type="dxa"/>
            <w:tcBorders>
              <w:top w:val="nil"/>
              <w:left w:val="single" w:color="000000" w:sz="8" w:space="0"/>
              <w:bottom w:val="single" w:color="000000" w:sz="8" w:space="0"/>
              <w:right w:val="single" w:color="000000" w:sz="8" w:space="0"/>
            </w:tcBorders>
            <w:shd w:val="clear" w:color="auto" w:fill="auto"/>
            <w:vAlign w:val="bottom"/>
          </w:tcPr>
          <w:p>
            <w:pPr>
              <w:widowControl/>
              <w:jc w:val="center"/>
              <w:textAlignment w:val="bottom"/>
              <w:rPr>
                <w:rFonts w:ascii="Tahoma" w:hAnsi="Tahoma" w:eastAsia="Tahoma" w:cs="Tahoma"/>
                <w:b/>
                <w:bCs/>
                <w:color w:val="595959"/>
                <w:szCs w:val="21"/>
              </w:rPr>
            </w:pPr>
            <w:r>
              <w:rPr>
                <w:rFonts w:ascii="Tahoma" w:hAnsi="Tahoma" w:eastAsia="Tahoma" w:cs="Tahoma"/>
                <w:b/>
                <w:bCs/>
                <w:color w:val="595959"/>
                <w:kern w:val="0"/>
                <w:szCs w:val="21"/>
              </w:rPr>
              <w:t>31</w:t>
            </w:r>
          </w:p>
        </w:tc>
        <w:tc>
          <w:tcPr>
            <w:tcW w:w="151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其他支出</w:t>
            </w:r>
          </w:p>
        </w:tc>
        <w:tc>
          <w:tcPr>
            <w:tcW w:w="1313"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151.93</w:t>
            </w:r>
          </w:p>
        </w:tc>
        <w:tc>
          <w:tcPr>
            <w:tcW w:w="1392"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46.63</w:t>
            </w:r>
          </w:p>
        </w:tc>
        <w:tc>
          <w:tcPr>
            <w:tcW w:w="119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105.3</w:t>
            </w:r>
          </w:p>
        </w:tc>
        <w:tc>
          <w:tcPr>
            <w:tcW w:w="1238"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225.82%</w:t>
            </w:r>
          </w:p>
        </w:tc>
        <w:tc>
          <w:tcPr>
            <w:tcW w:w="1550" w:type="dxa"/>
            <w:tcBorders>
              <w:top w:val="nil"/>
              <w:left w:val="nil"/>
              <w:bottom w:val="single" w:color="000000" w:sz="8" w:space="0"/>
              <w:right w:val="single" w:color="000000" w:sz="8" w:space="0"/>
            </w:tcBorders>
            <w:shd w:val="clear" w:color="auto" w:fill="auto"/>
            <w:vAlign w:val="center"/>
          </w:tcPr>
          <w:p>
            <w:pPr>
              <w:widowControl/>
              <w:jc w:val="center"/>
              <w:textAlignment w:val="bottom"/>
              <w:rPr>
                <w:rFonts w:ascii="微软雅黑" w:hAnsi="微软雅黑" w:eastAsia="微软雅黑" w:cs="微软雅黑"/>
                <w:b/>
                <w:bCs/>
                <w:color w:val="595959"/>
                <w:kern w:val="0"/>
                <w:szCs w:val="21"/>
              </w:rPr>
            </w:pPr>
            <w:r>
              <w:rPr>
                <w:rFonts w:hint="eastAsia" w:ascii="微软雅黑" w:hAnsi="微软雅黑" w:eastAsia="微软雅黑" w:cs="微软雅黑"/>
                <w:b/>
                <w:bCs/>
                <w:color w:val="595959"/>
                <w:kern w:val="0"/>
                <w:szCs w:val="21"/>
              </w:rPr>
              <w:t>0.10%</w:t>
            </w:r>
          </w:p>
        </w:tc>
      </w:tr>
      <w:tr>
        <w:tblPrEx>
          <w:tblCellMar>
            <w:top w:w="0" w:type="dxa"/>
            <w:left w:w="108" w:type="dxa"/>
            <w:bottom w:w="0" w:type="dxa"/>
            <w:right w:w="108" w:type="dxa"/>
          </w:tblCellMar>
        </w:tblPrEx>
        <w:trPr>
          <w:trHeight w:val="540" w:hRule="atLeast"/>
        </w:trPr>
        <w:tc>
          <w:tcPr>
            <w:tcW w:w="695"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Tahoma" w:hAnsi="Tahoma" w:eastAsia="Tahoma" w:cs="Tahoma"/>
                <w:b/>
                <w:bCs/>
                <w:color w:val="595959"/>
                <w:szCs w:val="21"/>
              </w:rPr>
            </w:pPr>
          </w:p>
        </w:tc>
        <w:tc>
          <w:tcPr>
            <w:tcW w:w="151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医疗支出小计</w:t>
            </w:r>
          </w:p>
        </w:tc>
        <w:tc>
          <w:tcPr>
            <w:tcW w:w="1313"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146776.26</w:t>
            </w:r>
          </w:p>
        </w:tc>
        <w:tc>
          <w:tcPr>
            <w:tcW w:w="1392"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135044.65</w:t>
            </w:r>
          </w:p>
        </w:tc>
        <w:tc>
          <w:tcPr>
            <w:tcW w:w="119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11731.61</w:t>
            </w:r>
          </w:p>
        </w:tc>
        <w:tc>
          <w:tcPr>
            <w:tcW w:w="1238"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8.69%</w:t>
            </w:r>
          </w:p>
        </w:tc>
        <w:tc>
          <w:tcPr>
            <w:tcW w:w="1550" w:type="dxa"/>
            <w:tcBorders>
              <w:top w:val="nil"/>
              <w:left w:val="nil"/>
              <w:bottom w:val="single" w:color="000000" w:sz="8" w:space="0"/>
              <w:right w:val="single" w:color="000000" w:sz="8" w:space="0"/>
            </w:tcBorders>
            <w:shd w:val="clear" w:color="auto" w:fill="auto"/>
            <w:vAlign w:val="center"/>
          </w:tcPr>
          <w:p>
            <w:pPr>
              <w:widowControl/>
              <w:jc w:val="center"/>
              <w:textAlignment w:val="bottom"/>
              <w:rPr>
                <w:rFonts w:ascii="微软雅黑" w:hAnsi="微软雅黑" w:eastAsia="微软雅黑" w:cs="微软雅黑"/>
                <w:b/>
                <w:bCs/>
                <w:color w:val="595959"/>
                <w:kern w:val="0"/>
                <w:szCs w:val="21"/>
              </w:rPr>
            </w:pPr>
            <w:r>
              <w:rPr>
                <w:rFonts w:hint="eastAsia" w:ascii="微软雅黑" w:hAnsi="微软雅黑" w:eastAsia="微软雅黑" w:cs="微软雅黑"/>
                <w:b/>
                <w:bCs/>
                <w:color w:val="595959"/>
                <w:kern w:val="0"/>
                <w:szCs w:val="21"/>
              </w:rPr>
              <w:t>100.00%</w:t>
            </w:r>
          </w:p>
        </w:tc>
      </w:tr>
      <w:tr>
        <w:tblPrEx>
          <w:tblCellMar>
            <w:top w:w="0" w:type="dxa"/>
            <w:left w:w="108" w:type="dxa"/>
            <w:bottom w:w="0" w:type="dxa"/>
            <w:right w:w="108" w:type="dxa"/>
          </w:tblCellMar>
        </w:tblPrEx>
        <w:trPr>
          <w:trHeight w:val="540" w:hRule="atLeast"/>
        </w:trPr>
        <w:tc>
          <w:tcPr>
            <w:tcW w:w="69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ahoma" w:hAnsi="Tahoma" w:eastAsia="Tahoma" w:cs="Tahoma"/>
                <w:b/>
                <w:bCs/>
                <w:color w:val="595959"/>
                <w:szCs w:val="21"/>
              </w:rPr>
            </w:pPr>
            <w:r>
              <w:rPr>
                <w:rFonts w:ascii="Tahoma" w:hAnsi="Tahoma" w:eastAsia="Tahoma" w:cs="Tahoma"/>
                <w:b/>
                <w:bCs/>
                <w:color w:val="595959"/>
                <w:kern w:val="0"/>
                <w:szCs w:val="21"/>
              </w:rPr>
              <w:t>32</w:t>
            </w:r>
          </w:p>
        </w:tc>
        <w:tc>
          <w:tcPr>
            <w:tcW w:w="151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财政项目支出</w:t>
            </w:r>
          </w:p>
        </w:tc>
        <w:tc>
          <w:tcPr>
            <w:tcW w:w="1313"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5402.11</w:t>
            </w:r>
          </w:p>
        </w:tc>
        <w:tc>
          <w:tcPr>
            <w:tcW w:w="1392"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3200.95</w:t>
            </w:r>
          </w:p>
        </w:tc>
        <w:tc>
          <w:tcPr>
            <w:tcW w:w="119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2201.16</w:t>
            </w:r>
          </w:p>
        </w:tc>
        <w:tc>
          <w:tcPr>
            <w:tcW w:w="1238"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68.77%</w:t>
            </w:r>
          </w:p>
        </w:tc>
        <w:tc>
          <w:tcPr>
            <w:tcW w:w="1550" w:type="dxa"/>
            <w:tcBorders>
              <w:top w:val="nil"/>
              <w:left w:val="nil"/>
              <w:bottom w:val="single" w:color="000000" w:sz="8" w:space="0"/>
              <w:right w:val="single" w:color="000000" w:sz="8" w:space="0"/>
            </w:tcBorders>
            <w:shd w:val="clear" w:color="auto" w:fill="auto"/>
            <w:vAlign w:val="bottom"/>
          </w:tcPr>
          <w:p>
            <w:pPr>
              <w:jc w:val="center"/>
              <w:rPr>
                <w:rFonts w:ascii="微软雅黑" w:hAnsi="微软雅黑" w:eastAsia="微软雅黑" w:cs="微软雅黑"/>
                <w:b/>
                <w:bCs/>
                <w:color w:val="595959"/>
                <w:szCs w:val="21"/>
              </w:rPr>
            </w:pPr>
          </w:p>
        </w:tc>
      </w:tr>
      <w:tr>
        <w:tblPrEx>
          <w:tblCellMar>
            <w:top w:w="0" w:type="dxa"/>
            <w:left w:w="108" w:type="dxa"/>
            <w:bottom w:w="0" w:type="dxa"/>
            <w:right w:w="108" w:type="dxa"/>
          </w:tblCellMar>
        </w:tblPrEx>
        <w:trPr>
          <w:trHeight w:val="540" w:hRule="atLeast"/>
        </w:trPr>
        <w:tc>
          <w:tcPr>
            <w:tcW w:w="69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ahoma" w:hAnsi="Tahoma" w:eastAsia="Tahoma" w:cs="Tahoma"/>
                <w:b/>
                <w:bCs/>
                <w:color w:val="595959"/>
                <w:szCs w:val="21"/>
              </w:rPr>
            </w:pPr>
            <w:r>
              <w:rPr>
                <w:rFonts w:ascii="Tahoma" w:hAnsi="Tahoma" w:eastAsia="Tahoma" w:cs="Tahoma"/>
                <w:b/>
                <w:bCs/>
                <w:color w:val="595959"/>
                <w:kern w:val="0"/>
                <w:szCs w:val="21"/>
              </w:rPr>
              <w:t>33</w:t>
            </w:r>
          </w:p>
        </w:tc>
        <w:tc>
          <w:tcPr>
            <w:tcW w:w="151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科教支出</w:t>
            </w:r>
          </w:p>
        </w:tc>
        <w:tc>
          <w:tcPr>
            <w:tcW w:w="1313"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263.44</w:t>
            </w:r>
          </w:p>
        </w:tc>
        <w:tc>
          <w:tcPr>
            <w:tcW w:w="1392"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62.77</w:t>
            </w:r>
          </w:p>
        </w:tc>
        <w:tc>
          <w:tcPr>
            <w:tcW w:w="119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200.67</w:t>
            </w:r>
          </w:p>
        </w:tc>
        <w:tc>
          <w:tcPr>
            <w:tcW w:w="1238"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319.69%</w:t>
            </w:r>
          </w:p>
        </w:tc>
        <w:tc>
          <w:tcPr>
            <w:tcW w:w="1550" w:type="dxa"/>
            <w:tcBorders>
              <w:top w:val="nil"/>
              <w:left w:val="nil"/>
              <w:bottom w:val="single" w:color="000000" w:sz="8" w:space="0"/>
              <w:right w:val="single" w:color="000000" w:sz="8" w:space="0"/>
            </w:tcBorders>
            <w:shd w:val="clear" w:color="auto" w:fill="auto"/>
            <w:vAlign w:val="bottom"/>
          </w:tcPr>
          <w:p>
            <w:pPr>
              <w:jc w:val="center"/>
              <w:rPr>
                <w:rFonts w:ascii="微软雅黑" w:hAnsi="微软雅黑" w:eastAsia="微软雅黑" w:cs="微软雅黑"/>
                <w:b/>
                <w:bCs/>
                <w:color w:val="595959"/>
                <w:szCs w:val="21"/>
              </w:rPr>
            </w:pPr>
          </w:p>
        </w:tc>
      </w:tr>
      <w:tr>
        <w:tblPrEx>
          <w:tblCellMar>
            <w:top w:w="0" w:type="dxa"/>
            <w:left w:w="108" w:type="dxa"/>
            <w:bottom w:w="0" w:type="dxa"/>
            <w:right w:w="108" w:type="dxa"/>
          </w:tblCellMar>
        </w:tblPrEx>
        <w:trPr>
          <w:trHeight w:val="540" w:hRule="atLeast"/>
        </w:trPr>
        <w:tc>
          <w:tcPr>
            <w:tcW w:w="695"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Tahoma" w:hAnsi="Tahoma" w:eastAsia="Tahoma" w:cs="Tahoma"/>
                <w:b/>
                <w:bCs/>
                <w:color w:val="595959"/>
                <w:szCs w:val="21"/>
              </w:rPr>
            </w:pPr>
          </w:p>
        </w:tc>
        <w:tc>
          <w:tcPr>
            <w:tcW w:w="151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支出合计</w:t>
            </w:r>
          </w:p>
        </w:tc>
        <w:tc>
          <w:tcPr>
            <w:tcW w:w="1313"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152441.8</w:t>
            </w:r>
          </w:p>
        </w:tc>
        <w:tc>
          <w:tcPr>
            <w:tcW w:w="1392"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138308.38</w:t>
            </w:r>
          </w:p>
        </w:tc>
        <w:tc>
          <w:tcPr>
            <w:tcW w:w="1196"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14133.42</w:t>
            </w:r>
          </w:p>
        </w:tc>
        <w:tc>
          <w:tcPr>
            <w:tcW w:w="1238" w:type="dxa"/>
            <w:tcBorders>
              <w:top w:val="nil"/>
              <w:left w:val="nil"/>
              <w:bottom w:val="single" w:color="000000" w:sz="8" w:space="0"/>
              <w:right w:val="single" w:color="000000" w:sz="8" w:space="0"/>
            </w:tcBorders>
            <w:shd w:val="clear" w:color="auto" w:fill="auto"/>
            <w:vAlign w:val="bottom"/>
          </w:tcPr>
          <w:p>
            <w:pPr>
              <w:widowControl/>
              <w:jc w:val="center"/>
              <w:textAlignment w:val="bottom"/>
              <w:rPr>
                <w:rFonts w:ascii="微软雅黑" w:hAnsi="微软雅黑" w:eastAsia="微软雅黑" w:cs="微软雅黑"/>
                <w:b/>
                <w:bCs/>
                <w:color w:val="595959"/>
                <w:szCs w:val="21"/>
              </w:rPr>
            </w:pPr>
            <w:r>
              <w:rPr>
                <w:rFonts w:hint="eastAsia" w:ascii="微软雅黑" w:hAnsi="微软雅黑" w:eastAsia="微软雅黑" w:cs="微软雅黑"/>
                <w:b/>
                <w:bCs/>
                <w:color w:val="595959"/>
                <w:kern w:val="0"/>
                <w:szCs w:val="21"/>
              </w:rPr>
              <w:t>10.22%</w:t>
            </w:r>
          </w:p>
        </w:tc>
        <w:tc>
          <w:tcPr>
            <w:tcW w:w="1550" w:type="dxa"/>
            <w:tcBorders>
              <w:top w:val="nil"/>
              <w:left w:val="nil"/>
              <w:bottom w:val="single" w:color="000000" w:sz="8" w:space="0"/>
              <w:right w:val="single" w:color="000000" w:sz="8" w:space="0"/>
            </w:tcBorders>
            <w:shd w:val="clear" w:color="auto" w:fill="auto"/>
            <w:vAlign w:val="bottom"/>
          </w:tcPr>
          <w:p>
            <w:pPr>
              <w:jc w:val="center"/>
              <w:rPr>
                <w:rFonts w:ascii="微软雅黑" w:hAnsi="微软雅黑" w:eastAsia="微软雅黑" w:cs="微软雅黑"/>
                <w:b/>
                <w:bCs/>
                <w:color w:val="595959"/>
                <w:szCs w:val="21"/>
              </w:rPr>
            </w:pPr>
          </w:p>
        </w:tc>
      </w:tr>
    </w:tbl>
    <w:p>
      <w:pPr>
        <w:rPr>
          <w:b/>
          <w:bCs/>
          <w:sz w:val="28"/>
          <w:szCs w:val="28"/>
        </w:rPr>
      </w:pPr>
    </w:p>
    <w:p>
      <w:pPr>
        <w:rPr>
          <w:b/>
          <w:bCs/>
          <w:sz w:val="28"/>
          <w:szCs w:val="28"/>
        </w:rPr>
      </w:pPr>
      <w:r>
        <w:drawing>
          <wp:inline distT="0" distB="0" distL="114300" distR="114300">
            <wp:extent cx="5492750" cy="2743200"/>
            <wp:effectExtent l="4445" t="4445" r="8255" b="14605"/>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left="420" w:leftChars="200"/>
        <w:rPr>
          <w:b/>
          <w:bCs/>
          <w:sz w:val="28"/>
          <w:szCs w:val="28"/>
        </w:rPr>
      </w:pPr>
      <w:r>
        <w:rPr>
          <w:rFonts w:hint="eastAsia"/>
          <w:b/>
          <w:bCs/>
          <w:sz w:val="28"/>
          <w:szCs w:val="28"/>
        </w:rPr>
        <w:t>分析：</w:t>
      </w:r>
    </w:p>
    <w:p>
      <w:pPr>
        <w:ind w:firstLine="560"/>
        <w:rPr>
          <w:sz w:val="28"/>
          <w:szCs w:val="28"/>
        </w:rPr>
      </w:pPr>
      <w:r>
        <w:rPr>
          <w:rFonts w:hint="eastAsia"/>
          <w:sz w:val="28"/>
          <w:szCs w:val="28"/>
        </w:rPr>
        <w:t>2021年总支出为152441.80万元，比去年同期的138308.38万元增加14133.42万元，上升10.22%。其中医疗业务支出146776.26万元，比去年同期的135044.65万元增加11731.61万元，增长8.69%。</w:t>
      </w:r>
    </w:p>
    <w:p>
      <w:pPr>
        <w:ind w:firstLine="560"/>
        <w:rPr>
          <w:sz w:val="28"/>
          <w:szCs w:val="28"/>
        </w:rPr>
      </w:pPr>
      <w:r>
        <w:rPr>
          <w:rFonts w:hint="eastAsia"/>
          <w:sz w:val="28"/>
          <w:szCs w:val="28"/>
        </w:rPr>
        <w:t>（一）、2021年支出增长较大的项目有：</w:t>
      </w:r>
    </w:p>
    <w:p>
      <w:pPr>
        <w:numPr>
          <w:ilvl w:val="0"/>
          <w:numId w:val="2"/>
        </w:numPr>
        <w:ind w:firstLine="560"/>
        <w:rPr>
          <w:sz w:val="28"/>
          <w:szCs w:val="28"/>
        </w:rPr>
      </w:pPr>
      <w:r>
        <w:rPr>
          <w:rFonts w:hint="eastAsia"/>
          <w:sz w:val="28"/>
          <w:szCs w:val="28"/>
        </w:rPr>
        <w:t>卫生材料费支出28393.87万元，比去年同期的23280.68万元增加5113.19万元，上升了21.96%，占医疗业务支出的19.35%。主要原因：</w:t>
      </w:r>
    </w:p>
    <w:p>
      <w:pPr>
        <w:ind w:firstLine="280" w:firstLineChars="100"/>
        <w:rPr>
          <w:rFonts w:ascii="Times New Roman" w:hAnsi="宋体" w:eastAsia="宋体" w:cs="宋体"/>
          <w:color w:val="000000"/>
          <w:sz w:val="28"/>
          <w:szCs w:val="28"/>
        </w:rPr>
      </w:pPr>
      <w:r>
        <w:rPr>
          <w:rFonts w:hint="eastAsia"/>
          <w:sz w:val="28"/>
          <w:szCs w:val="28"/>
        </w:rPr>
        <w:t xml:space="preserve"> </w:t>
      </w:r>
      <w:r>
        <w:rPr>
          <w:rFonts w:hint="eastAsia" w:ascii="Times New Roman" w:hAnsi="宋体" w:eastAsia="宋体" w:cs="宋体"/>
          <w:color w:val="000000"/>
          <w:sz w:val="28"/>
          <w:szCs w:val="28"/>
        </w:rPr>
        <w:t>一是去年9月份综合综合库对试剂进行二次议价，在原网采的基础上每种试剂下调10%，这部分试剂支出近800万元在2020年1月份集中出库。</w:t>
      </w:r>
    </w:p>
    <w:p>
      <w:pPr>
        <w:ind w:firstLine="560" w:firstLineChars="200"/>
        <w:rPr>
          <w:rFonts w:ascii="Times New Roman" w:hAnsi="宋体" w:eastAsia="宋体" w:cs="宋体"/>
          <w:color w:val="000000"/>
          <w:sz w:val="28"/>
          <w:szCs w:val="28"/>
        </w:rPr>
      </w:pPr>
      <w:r>
        <w:rPr>
          <w:rFonts w:hint="eastAsia" w:ascii="Times New Roman" w:hAnsi="宋体" w:eastAsia="宋体" w:cs="宋体"/>
          <w:color w:val="000000"/>
          <w:sz w:val="28"/>
          <w:szCs w:val="28"/>
        </w:rPr>
        <w:t>二是2020年因疫情原因医院收入减少，结转三个月试剂支出在2021年1至3月份列支。</w:t>
      </w:r>
    </w:p>
    <w:p>
      <w:pPr>
        <w:ind w:firstLine="560" w:firstLineChars="200"/>
        <w:rPr>
          <w:sz w:val="28"/>
          <w:szCs w:val="28"/>
        </w:rPr>
      </w:pPr>
      <w:r>
        <w:rPr>
          <w:rFonts w:hint="eastAsia" w:ascii="Times New Roman" w:hAnsi="宋体" w:eastAsia="宋体" w:cs="宋体"/>
          <w:color w:val="000000"/>
          <w:sz w:val="28"/>
          <w:szCs w:val="28"/>
        </w:rPr>
        <w:t>三是医院对临床医技科室支领取的耗材及试剂没有进行严格控制，从第四季度开始，医院已着手对耗材的领用将严格进行管控，摸清各科室的实际库存，在每月的计划中扣除这部分已有的耗材。2021年1月份开始对办公用品实行定额管理，每人每月限额20元，每半年公示一次，对省约部分按50%计奖，超出部分全部从科室绩效奖金中扣除，下一步医院将根据临床科室每月实际使用耗材量制定各临床科室耗材比例。</w:t>
      </w:r>
    </w:p>
    <w:p>
      <w:pPr>
        <w:ind w:firstLine="560" w:firstLineChars="200"/>
        <w:rPr>
          <w:sz w:val="28"/>
          <w:szCs w:val="28"/>
        </w:rPr>
      </w:pPr>
      <w:r>
        <w:rPr>
          <w:rFonts w:hint="eastAsia"/>
          <w:sz w:val="28"/>
          <w:szCs w:val="28"/>
        </w:rPr>
        <w:t>2、取暖费支出349.32万元，比去年同期的216.18万元增加133.14万元，上升了61.59%。上升的主要原因是医院缴纳的2021年至2022年度取暖费集中在2021年10月份列支，没有按取暖期进行分摊列支。</w:t>
      </w:r>
    </w:p>
    <w:p>
      <w:pPr>
        <w:ind w:firstLine="560" w:firstLineChars="200"/>
        <w:rPr>
          <w:sz w:val="28"/>
          <w:szCs w:val="28"/>
        </w:rPr>
      </w:pPr>
      <w:r>
        <w:rPr>
          <w:rFonts w:hint="eastAsia"/>
          <w:sz w:val="28"/>
          <w:szCs w:val="28"/>
        </w:rPr>
        <w:t>3、公务用车运行维护费支出36.97万元，比去年同期的26.27万元增加10.70万元，增长40.73%。</w:t>
      </w:r>
    </w:p>
    <w:p>
      <w:pPr>
        <w:ind w:firstLine="560" w:firstLineChars="200"/>
        <w:rPr>
          <w:sz w:val="28"/>
          <w:szCs w:val="28"/>
        </w:rPr>
      </w:pPr>
      <w:r>
        <w:rPr>
          <w:rFonts w:hint="eastAsia"/>
          <w:sz w:val="28"/>
          <w:szCs w:val="28"/>
        </w:rPr>
        <w:t>4、其他交通费支出1.26万元，比去年同期的0.62万元增加0.64万元，上升了103.32%。</w:t>
      </w:r>
    </w:p>
    <w:p>
      <w:pPr>
        <w:ind w:firstLine="280" w:firstLineChars="100"/>
        <w:rPr>
          <w:sz w:val="28"/>
          <w:szCs w:val="28"/>
        </w:rPr>
      </w:pPr>
      <w:r>
        <w:rPr>
          <w:rFonts w:hint="eastAsia"/>
          <w:sz w:val="28"/>
          <w:szCs w:val="28"/>
        </w:rPr>
        <w:t xml:space="preserve">  5、会议费支出12.65万元，去年因疫情原因未召开会议，没有会议费支出。</w:t>
      </w:r>
    </w:p>
    <w:p>
      <w:pPr>
        <w:ind w:firstLine="280" w:firstLineChars="100"/>
        <w:rPr>
          <w:sz w:val="28"/>
          <w:szCs w:val="28"/>
        </w:rPr>
      </w:pPr>
      <w:r>
        <w:rPr>
          <w:rFonts w:hint="eastAsia"/>
          <w:sz w:val="28"/>
          <w:szCs w:val="28"/>
        </w:rPr>
        <w:t>（二）、</w:t>
      </w:r>
      <w:r>
        <w:rPr>
          <w:rFonts w:hint="eastAsia"/>
          <w:sz w:val="28"/>
          <w:szCs w:val="28"/>
          <w:lang w:eastAsia="zh-CN"/>
        </w:rPr>
        <w:t>支出</w:t>
      </w:r>
      <w:r>
        <w:rPr>
          <w:rFonts w:hint="eastAsia"/>
          <w:sz w:val="28"/>
          <w:szCs w:val="28"/>
        </w:rPr>
        <w:t>控制比较</w:t>
      </w:r>
      <w:r>
        <w:rPr>
          <w:rFonts w:hint="eastAsia"/>
          <w:sz w:val="28"/>
          <w:szCs w:val="28"/>
          <w:lang w:eastAsia="zh-CN"/>
        </w:rPr>
        <w:t>好</w:t>
      </w:r>
      <w:r>
        <w:rPr>
          <w:rFonts w:hint="eastAsia"/>
          <w:sz w:val="28"/>
          <w:szCs w:val="28"/>
        </w:rPr>
        <w:t>的有：</w:t>
      </w:r>
    </w:p>
    <w:p>
      <w:pPr>
        <w:ind w:firstLine="560" w:firstLineChars="200"/>
        <w:rPr>
          <w:sz w:val="28"/>
          <w:szCs w:val="28"/>
        </w:rPr>
      </w:pPr>
      <w:r>
        <w:rPr>
          <w:rFonts w:hint="eastAsia"/>
          <w:sz w:val="28"/>
          <w:szCs w:val="28"/>
        </w:rPr>
        <w:t>办公费下降28.62%、差旅费下降43.86%、培训费下降65.74%、公务接待费下降88.79%、劳务费下降33.87%，租赁费下降67.70%、利息费下降19.99%、物业管理费下降20.41%。</w:t>
      </w:r>
    </w:p>
    <w:p>
      <w:pPr>
        <w:ind w:firstLine="560"/>
        <w:rPr>
          <w:b/>
          <w:bCs/>
          <w:sz w:val="28"/>
          <w:szCs w:val="28"/>
        </w:rPr>
      </w:pPr>
      <w:r>
        <w:rPr>
          <w:rFonts w:hint="eastAsia"/>
          <w:b/>
          <w:bCs/>
          <w:sz w:val="28"/>
          <w:szCs w:val="28"/>
        </w:rPr>
        <w:t>三、结余</w:t>
      </w:r>
    </w:p>
    <w:p>
      <w:pPr>
        <w:ind w:firstLine="560"/>
        <w:rPr>
          <w:sz w:val="28"/>
          <w:szCs w:val="28"/>
        </w:rPr>
      </w:pPr>
      <w:r>
        <w:rPr>
          <w:rFonts w:hint="eastAsia"/>
          <w:sz w:val="28"/>
          <w:szCs w:val="28"/>
        </w:rPr>
        <w:t>2021年全年总结余为-3593.81万元，其中医疗结余-3225.89万元。</w:t>
      </w:r>
    </w:p>
    <w:p>
      <w:pPr>
        <w:ind w:firstLine="562" w:firstLineChars="200"/>
        <w:rPr>
          <w:b/>
          <w:bCs/>
          <w:sz w:val="28"/>
          <w:szCs w:val="28"/>
        </w:rPr>
      </w:pPr>
    </w:p>
    <w:p>
      <w:pPr>
        <w:ind w:firstLine="562" w:firstLineChars="200"/>
        <w:rPr>
          <w:b/>
          <w:bCs/>
          <w:sz w:val="28"/>
          <w:szCs w:val="28"/>
        </w:rPr>
      </w:pPr>
    </w:p>
    <w:p>
      <w:pPr>
        <w:ind w:firstLine="562" w:firstLineChars="200"/>
        <w:rPr>
          <w:b/>
          <w:bCs/>
          <w:sz w:val="28"/>
          <w:szCs w:val="28"/>
        </w:rPr>
      </w:pPr>
      <w:r>
        <w:rPr>
          <w:rFonts w:hint="eastAsia"/>
          <w:b/>
          <w:bCs/>
          <w:sz w:val="28"/>
          <w:szCs w:val="28"/>
        </w:rPr>
        <w:t>四、效率指标完成情况</w:t>
      </w:r>
    </w:p>
    <w:p>
      <w:pPr>
        <w:rPr>
          <w:b/>
          <w:bCs/>
          <w:sz w:val="28"/>
          <w:szCs w:val="28"/>
        </w:rPr>
      </w:pPr>
    </w:p>
    <w:tbl>
      <w:tblPr>
        <w:tblStyle w:val="5"/>
        <w:tblW w:w="9494" w:type="dxa"/>
        <w:tblInd w:w="9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156"/>
        <w:gridCol w:w="1113"/>
        <w:gridCol w:w="1137"/>
        <w:gridCol w:w="1063"/>
        <w:gridCol w:w="1387"/>
        <w:gridCol w:w="1238"/>
        <w:gridCol w:w="1225"/>
        <w:gridCol w:w="11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25" w:hRule="atLeast"/>
        </w:trPr>
        <w:tc>
          <w:tcPr>
            <w:tcW w:w="1156" w:type="dxa"/>
            <w:tcBorders>
              <w:tl2br w:val="nil"/>
              <w:tr2bl w:val="nil"/>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日期</w:t>
            </w:r>
            <w:r>
              <w:rPr>
                <w:rFonts w:ascii="Tahoma" w:hAnsi="Tahoma" w:eastAsia="Tahoma" w:cs="Tahoma"/>
                <w:color w:val="000000"/>
                <w:kern w:val="0"/>
                <w:sz w:val="22"/>
                <w:szCs w:val="22"/>
              </w:rPr>
              <w:t xml:space="preserve">  </w:t>
            </w:r>
            <w:r>
              <w:rPr>
                <w:rFonts w:hint="eastAsia" w:ascii="Tahoma" w:hAnsi="Tahoma" w:eastAsia="Tahoma" w:cs="Tahoma"/>
                <w:color w:val="000000"/>
                <w:kern w:val="0"/>
                <w:sz w:val="22"/>
                <w:szCs w:val="22"/>
              </w:rPr>
              <w:t xml:space="preserve"> </w:t>
            </w:r>
            <w:r>
              <w:rPr>
                <w:rFonts w:ascii="Tahoma" w:hAnsi="Tahoma" w:eastAsia="Tahoma" w:cs="Tahoma"/>
                <w:color w:val="000000"/>
                <w:kern w:val="0"/>
                <w:sz w:val="22"/>
                <w:szCs w:val="22"/>
              </w:rPr>
              <w:t xml:space="preserve"> </w:t>
            </w:r>
            <w:r>
              <w:rPr>
                <w:rFonts w:ascii="微软雅黑" w:hAnsi="微软雅黑" w:eastAsia="微软雅黑" w:cs="微软雅黑"/>
                <w:color w:val="000000"/>
                <w:kern w:val="0"/>
                <w:sz w:val="22"/>
                <w:szCs w:val="22"/>
              </w:rPr>
              <w:t>指标</w:t>
            </w:r>
          </w:p>
        </w:tc>
        <w:tc>
          <w:tcPr>
            <w:tcW w:w="1113" w:type="dxa"/>
            <w:tcBorders>
              <w:tl2br w:val="nil"/>
              <w:tr2bl w:val="nil"/>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门诊量</w:t>
            </w:r>
          </w:p>
        </w:tc>
        <w:tc>
          <w:tcPr>
            <w:tcW w:w="1137" w:type="dxa"/>
            <w:tcBorders>
              <w:tl2br w:val="nil"/>
              <w:tr2bl w:val="nil"/>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出院人数</w:t>
            </w:r>
          </w:p>
        </w:tc>
        <w:tc>
          <w:tcPr>
            <w:tcW w:w="1063" w:type="dxa"/>
            <w:tcBorders>
              <w:tl2br w:val="nil"/>
              <w:tr2bl w:val="nil"/>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平均住院日</w:t>
            </w:r>
          </w:p>
        </w:tc>
        <w:tc>
          <w:tcPr>
            <w:tcW w:w="1387" w:type="dxa"/>
            <w:tcBorders>
              <w:tl2br w:val="nil"/>
              <w:tr2bl w:val="nil"/>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百元收入消耗卫生材料 (元)</w:t>
            </w:r>
          </w:p>
        </w:tc>
        <w:tc>
          <w:tcPr>
            <w:tcW w:w="1238" w:type="dxa"/>
            <w:tcBorders>
              <w:tl2br w:val="nil"/>
              <w:tr2bl w:val="nil"/>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每职工平均诊疗人次</w:t>
            </w:r>
          </w:p>
        </w:tc>
        <w:tc>
          <w:tcPr>
            <w:tcW w:w="1225" w:type="dxa"/>
            <w:tcBorders>
              <w:tl2br w:val="nil"/>
              <w:tr2bl w:val="nil"/>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门诊次均  费用</w:t>
            </w:r>
          </w:p>
        </w:tc>
        <w:tc>
          <w:tcPr>
            <w:tcW w:w="1175" w:type="dxa"/>
            <w:tcBorders>
              <w:tl2br w:val="nil"/>
              <w:tr2bl w:val="nil"/>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住院次均  费用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20" w:hRule="atLeast"/>
        </w:trPr>
        <w:tc>
          <w:tcPr>
            <w:tcW w:w="1156" w:type="dxa"/>
            <w:tcBorders>
              <w:tl2br w:val="nil"/>
              <w:tr2bl w:val="nil"/>
            </w:tcBorders>
            <w:shd w:val="clear" w:color="auto" w:fill="auto"/>
            <w:noWrap/>
            <w:vAlign w:val="center"/>
          </w:tcPr>
          <w:p>
            <w:pPr>
              <w:widowControl/>
              <w:jc w:val="left"/>
              <w:textAlignment w:val="center"/>
              <w:rPr>
                <w:rFonts w:ascii="Tahoma" w:hAnsi="Tahoma" w:eastAsia="Tahoma" w:cs="Tahoma"/>
                <w:color w:val="000000"/>
                <w:sz w:val="22"/>
                <w:szCs w:val="22"/>
              </w:rPr>
            </w:pPr>
            <w:r>
              <w:rPr>
                <w:rFonts w:ascii="Tahoma" w:hAnsi="Tahoma" w:eastAsia="Tahoma" w:cs="Tahoma"/>
                <w:color w:val="000000"/>
                <w:kern w:val="0"/>
                <w:sz w:val="22"/>
                <w:szCs w:val="22"/>
              </w:rPr>
              <w:t>2021</w:t>
            </w:r>
            <w:r>
              <w:rPr>
                <w:rFonts w:hint="eastAsia" w:ascii="Tahoma" w:hAnsi="Tahoma" w:eastAsia="Tahoma" w:cs="Tahoma"/>
                <w:color w:val="000000"/>
                <w:kern w:val="0"/>
                <w:sz w:val="22"/>
                <w:szCs w:val="22"/>
              </w:rPr>
              <w:t>年</w:t>
            </w:r>
          </w:p>
        </w:tc>
        <w:tc>
          <w:tcPr>
            <w:tcW w:w="1113"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769524</w:t>
            </w:r>
          </w:p>
        </w:tc>
        <w:tc>
          <w:tcPr>
            <w:tcW w:w="1137"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59046</w:t>
            </w:r>
          </w:p>
        </w:tc>
        <w:tc>
          <w:tcPr>
            <w:tcW w:w="1063"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10.13</w:t>
            </w:r>
          </w:p>
        </w:tc>
        <w:tc>
          <w:tcPr>
            <w:tcW w:w="1387"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35.</w:t>
            </w:r>
            <w:bookmarkStart w:id="0" w:name="_GoBack"/>
            <w:bookmarkEnd w:id="0"/>
            <w:r>
              <w:rPr>
                <w:rFonts w:hint="eastAsia" w:ascii="微软雅黑" w:hAnsi="微软雅黑" w:eastAsia="微软雅黑" w:cs="微软雅黑"/>
                <w:color w:val="000000"/>
                <w:kern w:val="0"/>
                <w:sz w:val="22"/>
                <w:szCs w:val="22"/>
              </w:rPr>
              <w:t>3</w:t>
            </w:r>
          </w:p>
        </w:tc>
        <w:tc>
          <w:tcPr>
            <w:tcW w:w="1238"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352.05</w:t>
            </w:r>
          </w:p>
        </w:tc>
        <w:tc>
          <w:tcPr>
            <w:tcW w:w="1225"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507.42</w:t>
            </w:r>
          </w:p>
        </w:tc>
        <w:tc>
          <w:tcPr>
            <w:tcW w:w="1175"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17292.43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20" w:hRule="atLeast"/>
        </w:trPr>
        <w:tc>
          <w:tcPr>
            <w:tcW w:w="1156" w:type="dxa"/>
            <w:tcBorders>
              <w:tl2br w:val="nil"/>
              <w:tr2bl w:val="nil"/>
            </w:tcBorders>
            <w:shd w:val="clear" w:color="auto" w:fill="auto"/>
            <w:noWrap/>
            <w:vAlign w:val="center"/>
          </w:tcPr>
          <w:p>
            <w:pPr>
              <w:widowControl/>
              <w:jc w:val="left"/>
              <w:textAlignment w:val="center"/>
              <w:rPr>
                <w:rFonts w:ascii="Tahoma" w:hAnsi="Tahoma" w:eastAsia="Tahoma" w:cs="Tahoma"/>
                <w:color w:val="000000"/>
                <w:sz w:val="22"/>
                <w:szCs w:val="22"/>
              </w:rPr>
            </w:pPr>
            <w:r>
              <w:rPr>
                <w:rFonts w:ascii="Tahoma" w:hAnsi="Tahoma" w:eastAsia="Tahoma" w:cs="Tahoma"/>
                <w:color w:val="000000"/>
                <w:kern w:val="0"/>
                <w:sz w:val="22"/>
                <w:szCs w:val="22"/>
              </w:rPr>
              <w:t>2020</w:t>
            </w:r>
            <w:r>
              <w:rPr>
                <w:rFonts w:ascii="微软雅黑" w:hAnsi="微软雅黑" w:eastAsia="微软雅黑" w:cs="微软雅黑"/>
                <w:color w:val="000000"/>
                <w:kern w:val="0"/>
                <w:sz w:val="22"/>
                <w:szCs w:val="22"/>
              </w:rPr>
              <w:t>年</w:t>
            </w:r>
          </w:p>
        </w:tc>
        <w:tc>
          <w:tcPr>
            <w:tcW w:w="1113"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580079</w:t>
            </w:r>
          </w:p>
        </w:tc>
        <w:tc>
          <w:tcPr>
            <w:tcW w:w="1137"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53532</w:t>
            </w:r>
          </w:p>
        </w:tc>
        <w:tc>
          <w:tcPr>
            <w:tcW w:w="1063"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11.07</w:t>
            </w:r>
          </w:p>
        </w:tc>
        <w:tc>
          <w:tcPr>
            <w:tcW w:w="1387"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33.02</w:t>
            </w:r>
          </w:p>
        </w:tc>
        <w:tc>
          <w:tcPr>
            <w:tcW w:w="1238"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216.64</w:t>
            </w:r>
          </w:p>
        </w:tc>
        <w:tc>
          <w:tcPr>
            <w:tcW w:w="1225"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596.96</w:t>
            </w:r>
          </w:p>
        </w:tc>
        <w:tc>
          <w:tcPr>
            <w:tcW w:w="1175"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17118.59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20" w:hRule="atLeast"/>
        </w:trPr>
        <w:tc>
          <w:tcPr>
            <w:tcW w:w="1156" w:type="dxa"/>
            <w:tcBorders>
              <w:tl2br w:val="nil"/>
              <w:tr2bl w:val="nil"/>
            </w:tcBorders>
            <w:shd w:val="clear" w:color="auto" w:fill="auto"/>
            <w:noWrap/>
            <w:vAlign w:val="center"/>
          </w:tcPr>
          <w:p>
            <w:pPr>
              <w:widowControl/>
              <w:jc w:val="left"/>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同比增减</w:t>
            </w:r>
          </w:p>
        </w:tc>
        <w:tc>
          <w:tcPr>
            <w:tcW w:w="1113"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189445</w:t>
            </w:r>
          </w:p>
        </w:tc>
        <w:tc>
          <w:tcPr>
            <w:tcW w:w="1137"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5514</w:t>
            </w:r>
          </w:p>
        </w:tc>
        <w:tc>
          <w:tcPr>
            <w:tcW w:w="1063"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-0.94</w:t>
            </w:r>
          </w:p>
        </w:tc>
        <w:tc>
          <w:tcPr>
            <w:tcW w:w="1387"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2.28</w:t>
            </w:r>
          </w:p>
        </w:tc>
        <w:tc>
          <w:tcPr>
            <w:tcW w:w="1238"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135.41</w:t>
            </w:r>
          </w:p>
        </w:tc>
        <w:tc>
          <w:tcPr>
            <w:tcW w:w="1225"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-89.54</w:t>
            </w:r>
          </w:p>
        </w:tc>
        <w:tc>
          <w:tcPr>
            <w:tcW w:w="1175"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173.84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20" w:hRule="atLeast"/>
        </w:trPr>
        <w:tc>
          <w:tcPr>
            <w:tcW w:w="1156" w:type="dxa"/>
            <w:tcBorders>
              <w:tl2br w:val="nil"/>
              <w:tr2bl w:val="nil"/>
            </w:tcBorders>
            <w:shd w:val="clear" w:color="auto" w:fill="auto"/>
            <w:noWrap/>
            <w:vAlign w:val="center"/>
          </w:tcPr>
          <w:p>
            <w:pPr>
              <w:widowControl/>
              <w:jc w:val="left"/>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同比增长</w:t>
            </w:r>
          </w:p>
        </w:tc>
        <w:tc>
          <w:tcPr>
            <w:tcW w:w="1113"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32.66%</w:t>
            </w:r>
          </w:p>
        </w:tc>
        <w:tc>
          <w:tcPr>
            <w:tcW w:w="1137"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10.30%</w:t>
            </w:r>
          </w:p>
        </w:tc>
        <w:tc>
          <w:tcPr>
            <w:tcW w:w="1063"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-8.49%</w:t>
            </w:r>
          </w:p>
        </w:tc>
        <w:tc>
          <w:tcPr>
            <w:tcW w:w="1387"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6.90%</w:t>
            </w:r>
          </w:p>
        </w:tc>
        <w:tc>
          <w:tcPr>
            <w:tcW w:w="1238"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62.50%</w:t>
            </w:r>
          </w:p>
        </w:tc>
        <w:tc>
          <w:tcPr>
            <w:tcW w:w="1225"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-15.00%</w:t>
            </w:r>
          </w:p>
        </w:tc>
        <w:tc>
          <w:tcPr>
            <w:tcW w:w="1175"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1.02%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20" w:hRule="atLeast"/>
        </w:trPr>
        <w:tc>
          <w:tcPr>
            <w:tcW w:w="1156" w:type="dxa"/>
            <w:tcBorders>
              <w:tl2br w:val="nil"/>
              <w:tr2bl w:val="nil"/>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日期</w:t>
            </w:r>
            <w:r>
              <w:rPr>
                <w:rFonts w:ascii="Tahoma" w:hAnsi="Tahoma" w:eastAsia="Tahoma" w:cs="Tahoma"/>
                <w:color w:val="000000"/>
                <w:kern w:val="0"/>
                <w:sz w:val="22"/>
                <w:szCs w:val="22"/>
              </w:rPr>
              <w:t xml:space="preserve">  </w:t>
            </w:r>
            <w:r>
              <w:rPr>
                <w:rFonts w:hint="eastAsia" w:ascii="Tahoma" w:hAnsi="Tahoma" w:eastAsia="Tahoma" w:cs="Tahoma"/>
                <w:color w:val="000000"/>
                <w:kern w:val="0"/>
                <w:sz w:val="22"/>
                <w:szCs w:val="22"/>
              </w:rPr>
              <w:t xml:space="preserve"> </w:t>
            </w:r>
            <w:r>
              <w:rPr>
                <w:rFonts w:ascii="Tahoma" w:hAnsi="Tahoma" w:eastAsia="Tahoma" w:cs="Tahoma"/>
                <w:color w:val="000000"/>
                <w:kern w:val="0"/>
                <w:sz w:val="22"/>
                <w:szCs w:val="22"/>
              </w:rPr>
              <w:t xml:space="preserve"> </w:t>
            </w:r>
            <w:r>
              <w:rPr>
                <w:rFonts w:hint="eastAsia" w:ascii="微软雅黑" w:hAnsi="微软雅黑" w:eastAsia="微软雅黑" w:cs="微软雅黑"/>
                <w:color w:val="000000"/>
                <w:kern w:val="0"/>
                <w:sz w:val="22"/>
                <w:szCs w:val="22"/>
              </w:rPr>
              <w:t>指标</w:t>
            </w:r>
          </w:p>
        </w:tc>
        <w:tc>
          <w:tcPr>
            <w:tcW w:w="1113" w:type="dxa"/>
            <w:tcBorders>
              <w:tl2br w:val="nil"/>
              <w:tr2bl w:val="nil"/>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资产负责率</w:t>
            </w:r>
          </w:p>
        </w:tc>
        <w:tc>
          <w:tcPr>
            <w:tcW w:w="1137" w:type="dxa"/>
            <w:tcBorders>
              <w:tl2br w:val="nil"/>
              <w:tr2bl w:val="nil"/>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流动比率</w:t>
            </w:r>
          </w:p>
        </w:tc>
        <w:tc>
          <w:tcPr>
            <w:tcW w:w="1063" w:type="dxa"/>
            <w:tcBorders>
              <w:tl2br w:val="nil"/>
              <w:tr2bl w:val="nil"/>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速运比率</w:t>
            </w:r>
          </w:p>
        </w:tc>
        <w:tc>
          <w:tcPr>
            <w:tcW w:w="1387" w:type="dxa"/>
            <w:tcBorders>
              <w:tl2br w:val="nil"/>
              <w:tr2bl w:val="nil"/>
            </w:tcBorders>
            <w:shd w:val="clear" w:color="auto" w:fill="auto"/>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管理费用率</w:t>
            </w:r>
          </w:p>
        </w:tc>
        <w:tc>
          <w:tcPr>
            <w:tcW w:w="1238" w:type="dxa"/>
            <w:tcBorders>
              <w:tl2br w:val="nil"/>
              <w:tr2bl w:val="nil"/>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药品比例</w:t>
            </w:r>
          </w:p>
        </w:tc>
        <w:tc>
          <w:tcPr>
            <w:tcW w:w="1225" w:type="dxa"/>
            <w:tcBorders>
              <w:tl2br w:val="nil"/>
              <w:tr2bl w:val="nil"/>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床位使用率</w:t>
            </w:r>
          </w:p>
        </w:tc>
        <w:tc>
          <w:tcPr>
            <w:tcW w:w="1175" w:type="dxa"/>
            <w:tcBorders>
              <w:tl2br w:val="nil"/>
              <w:tr2bl w:val="nil"/>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人员经费支出占比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20" w:hRule="atLeast"/>
        </w:trPr>
        <w:tc>
          <w:tcPr>
            <w:tcW w:w="1156" w:type="dxa"/>
            <w:tcBorders>
              <w:tl2br w:val="nil"/>
              <w:tr2bl w:val="nil"/>
            </w:tcBorders>
            <w:shd w:val="clear" w:color="auto" w:fill="auto"/>
            <w:noWrap/>
            <w:vAlign w:val="center"/>
          </w:tcPr>
          <w:p>
            <w:pPr>
              <w:jc w:val="left"/>
              <w:rPr>
                <w:rFonts w:ascii="Tahoma" w:hAnsi="Tahoma" w:eastAsia="宋体" w:cs="Tahoma"/>
                <w:color w:val="000000"/>
                <w:szCs w:val="21"/>
              </w:rPr>
            </w:pPr>
            <w:r>
              <w:rPr>
                <w:rFonts w:hint="eastAsia" w:ascii="Tahoma" w:hAnsi="Tahoma" w:eastAsia="宋体" w:cs="Tahoma"/>
                <w:color w:val="000000"/>
                <w:sz w:val="22"/>
                <w:szCs w:val="22"/>
              </w:rPr>
              <w:t>2021年</w:t>
            </w:r>
          </w:p>
        </w:tc>
        <w:tc>
          <w:tcPr>
            <w:tcW w:w="1113"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93.16%</w:t>
            </w:r>
          </w:p>
        </w:tc>
        <w:tc>
          <w:tcPr>
            <w:tcW w:w="1137"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63.21%</w:t>
            </w:r>
          </w:p>
        </w:tc>
        <w:tc>
          <w:tcPr>
            <w:tcW w:w="1063"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58.29%</w:t>
            </w:r>
          </w:p>
        </w:tc>
        <w:tc>
          <w:tcPr>
            <w:tcW w:w="1387"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11.11%</w:t>
            </w:r>
          </w:p>
        </w:tc>
        <w:tc>
          <w:tcPr>
            <w:tcW w:w="1238"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42.64%</w:t>
            </w:r>
          </w:p>
        </w:tc>
        <w:tc>
          <w:tcPr>
            <w:tcW w:w="1225"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136.55%</w:t>
            </w:r>
          </w:p>
        </w:tc>
        <w:tc>
          <w:tcPr>
            <w:tcW w:w="1175"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31.10%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20" w:hRule="atLeast"/>
        </w:trPr>
        <w:tc>
          <w:tcPr>
            <w:tcW w:w="1156" w:type="dxa"/>
            <w:tcBorders>
              <w:tl2br w:val="nil"/>
              <w:tr2bl w:val="nil"/>
            </w:tcBorders>
            <w:shd w:val="clear" w:color="auto" w:fill="auto"/>
            <w:noWrap/>
            <w:vAlign w:val="center"/>
          </w:tcPr>
          <w:p>
            <w:pPr>
              <w:widowControl/>
              <w:jc w:val="left"/>
              <w:textAlignment w:val="center"/>
              <w:rPr>
                <w:rFonts w:ascii="Tahoma" w:hAnsi="Tahoma" w:eastAsia="Tahoma" w:cs="Tahoma"/>
                <w:color w:val="000000"/>
                <w:sz w:val="22"/>
                <w:szCs w:val="22"/>
              </w:rPr>
            </w:pPr>
            <w:r>
              <w:rPr>
                <w:rFonts w:ascii="Tahoma" w:hAnsi="Tahoma" w:eastAsia="Tahoma" w:cs="Tahoma"/>
                <w:color w:val="000000"/>
                <w:kern w:val="0"/>
                <w:sz w:val="22"/>
                <w:szCs w:val="22"/>
              </w:rPr>
              <w:t>2020</w:t>
            </w:r>
            <w:r>
              <w:rPr>
                <w:rFonts w:ascii="微软雅黑" w:hAnsi="微软雅黑" w:eastAsia="微软雅黑" w:cs="微软雅黑"/>
                <w:color w:val="000000"/>
                <w:kern w:val="0"/>
                <w:sz w:val="22"/>
                <w:szCs w:val="22"/>
              </w:rPr>
              <w:t>年</w:t>
            </w:r>
            <w:r>
              <w:rPr>
                <w:rFonts w:hint="eastAsia" w:ascii="微软雅黑" w:hAnsi="微软雅黑" w:eastAsia="微软雅黑" w:cs="微软雅黑"/>
                <w:b/>
                <w:bCs/>
                <w:color w:val="000000"/>
                <w:kern w:val="0"/>
                <w:sz w:val="22"/>
                <w:szCs w:val="22"/>
              </w:rPr>
              <w:t xml:space="preserve">    </w:t>
            </w:r>
          </w:p>
        </w:tc>
        <w:tc>
          <w:tcPr>
            <w:tcW w:w="1113"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88.86%</w:t>
            </w:r>
          </w:p>
        </w:tc>
        <w:tc>
          <w:tcPr>
            <w:tcW w:w="1137"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58.37%</w:t>
            </w:r>
          </w:p>
        </w:tc>
        <w:tc>
          <w:tcPr>
            <w:tcW w:w="1063"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52.47%</w:t>
            </w:r>
          </w:p>
        </w:tc>
        <w:tc>
          <w:tcPr>
            <w:tcW w:w="1387"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11.83%</w:t>
            </w:r>
          </w:p>
        </w:tc>
        <w:tc>
          <w:tcPr>
            <w:tcW w:w="1238"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43.95%</w:t>
            </w:r>
          </w:p>
        </w:tc>
        <w:tc>
          <w:tcPr>
            <w:tcW w:w="1225"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133.71%</w:t>
            </w:r>
          </w:p>
        </w:tc>
        <w:tc>
          <w:tcPr>
            <w:tcW w:w="1175"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31.82%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20" w:hRule="atLeast"/>
        </w:trPr>
        <w:tc>
          <w:tcPr>
            <w:tcW w:w="1156" w:type="dxa"/>
            <w:tcBorders>
              <w:tl2br w:val="nil"/>
              <w:tr2bl w:val="nil"/>
            </w:tcBorders>
            <w:shd w:val="clear" w:color="auto" w:fill="auto"/>
            <w:noWrap/>
            <w:vAlign w:val="center"/>
          </w:tcPr>
          <w:p>
            <w:pPr>
              <w:widowControl/>
              <w:jc w:val="left"/>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同比增长</w:t>
            </w:r>
          </w:p>
        </w:tc>
        <w:tc>
          <w:tcPr>
            <w:tcW w:w="1113"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4.30%</w:t>
            </w:r>
          </w:p>
        </w:tc>
        <w:tc>
          <w:tcPr>
            <w:tcW w:w="1137"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4.84%</w:t>
            </w:r>
          </w:p>
        </w:tc>
        <w:tc>
          <w:tcPr>
            <w:tcW w:w="1063"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5.82%</w:t>
            </w:r>
          </w:p>
        </w:tc>
        <w:tc>
          <w:tcPr>
            <w:tcW w:w="1387"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-0.72%</w:t>
            </w:r>
          </w:p>
        </w:tc>
        <w:tc>
          <w:tcPr>
            <w:tcW w:w="1238"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-1.31%</w:t>
            </w:r>
          </w:p>
        </w:tc>
        <w:tc>
          <w:tcPr>
            <w:tcW w:w="1225"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2.84%</w:t>
            </w:r>
          </w:p>
        </w:tc>
        <w:tc>
          <w:tcPr>
            <w:tcW w:w="1175" w:type="dxa"/>
            <w:tcBorders>
              <w:tl2br w:val="nil"/>
              <w:tr2bl w:val="nil"/>
            </w:tcBorders>
            <w:shd w:val="clear" w:color="auto" w:fill="auto"/>
            <w:noWrap/>
            <w:vAlign w:val="center"/>
          </w:tcPr>
          <w:p>
            <w:pPr>
              <w:widowControl/>
              <w:jc w:val="center"/>
              <w:textAlignment w:val="center"/>
              <w:rPr>
                <w:rFonts w:ascii="微软雅黑" w:hAnsi="微软雅黑" w:eastAsia="微软雅黑" w:cs="微软雅黑"/>
                <w:color w:val="000000"/>
                <w:sz w:val="22"/>
                <w:szCs w:val="22"/>
              </w:rPr>
            </w:pPr>
            <w:r>
              <w:rPr>
                <w:rFonts w:hint="eastAsia" w:ascii="微软雅黑" w:hAnsi="微软雅黑" w:eastAsia="微软雅黑" w:cs="微软雅黑"/>
                <w:color w:val="000000"/>
                <w:kern w:val="0"/>
                <w:sz w:val="22"/>
                <w:szCs w:val="22"/>
              </w:rPr>
              <w:t>-0.72%</w:t>
            </w:r>
          </w:p>
        </w:tc>
      </w:tr>
    </w:tbl>
    <w:p>
      <w:pPr>
        <w:rPr>
          <w:b/>
          <w:bCs/>
          <w:sz w:val="28"/>
          <w:szCs w:val="28"/>
        </w:rPr>
      </w:pPr>
    </w:p>
    <w:p>
      <w:pPr>
        <w:ind w:firstLine="562" w:firstLineChars="200"/>
        <w:rPr>
          <w:b/>
          <w:bCs/>
          <w:sz w:val="28"/>
          <w:szCs w:val="28"/>
        </w:rPr>
      </w:pPr>
      <w:r>
        <w:rPr>
          <w:rFonts w:hint="eastAsia"/>
          <w:b/>
          <w:bCs/>
          <w:sz w:val="28"/>
          <w:szCs w:val="28"/>
        </w:rPr>
        <w:t>五、资产负债</w:t>
      </w:r>
    </w:p>
    <w:p>
      <w:pPr>
        <w:ind w:left="420" w:leftChars="200"/>
        <w:rPr>
          <w:sz w:val="28"/>
          <w:szCs w:val="28"/>
        </w:rPr>
      </w:pPr>
      <w:r>
        <w:rPr>
          <w:rFonts w:hint="eastAsia"/>
          <w:sz w:val="28"/>
          <w:szCs w:val="28"/>
        </w:rPr>
        <w:t>（一）、总资产</w:t>
      </w:r>
    </w:p>
    <w:p>
      <w:pPr>
        <w:ind w:firstLine="560" w:firstLineChars="200"/>
        <w:rPr>
          <w:sz w:val="28"/>
          <w:szCs w:val="28"/>
        </w:rPr>
      </w:pPr>
      <w:r>
        <w:rPr>
          <w:rFonts w:hint="eastAsia"/>
          <w:sz w:val="28"/>
          <w:szCs w:val="28"/>
        </w:rPr>
        <w:t>2021年医院总资产为101507.66万元，其中流动资产59235.56万元，固定资产净值40270.23万元，在建工程814.49万元，无形资产净值1187.38万元。</w:t>
      </w:r>
    </w:p>
    <w:p>
      <w:pPr>
        <w:ind w:firstLine="560" w:firstLineChars="200"/>
        <w:rPr>
          <w:sz w:val="28"/>
          <w:szCs w:val="28"/>
        </w:rPr>
      </w:pPr>
      <w:r>
        <w:rPr>
          <w:rFonts w:hint="eastAsia"/>
          <w:sz w:val="28"/>
          <w:szCs w:val="28"/>
        </w:rPr>
        <w:t>（二）、负债</w:t>
      </w:r>
    </w:p>
    <w:p>
      <w:pPr>
        <w:rPr>
          <w:sz w:val="28"/>
          <w:szCs w:val="28"/>
        </w:rPr>
      </w:pPr>
      <w:r>
        <w:rPr>
          <w:rFonts w:hint="eastAsia"/>
          <w:sz w:val="28"/>
          <w:szCs w:val="28"/>
        </w:rPr>
        <w:t xml:space="preserve">     2021年医院总负债为94561.95万元，其中流动负债93715.10万元，主要包括银行贷款1.3个亿，应付药品耗材款66776.11万元，预收账款10539.37万元（含疫情周转金3840万元），其他应付款1536.90万元。</w:t>
      </w:r>
    </w:p>
    <w:p>
      <w:pPr>
        <w:rPr>
          <w:sz w:val="28"/>
          <w:szCs w:val="28"/>
        </w:rPr>
      </w:pPr>
      <w:r>
        <w:rPr>
          <w:rFonts w:hint="eastAsia"/>
          <w:sz w:val="28"/>
          <w:szCs w:val="28"/>
        </w:rPr>
        <w:t xml:space="preserve">    （三）、净资产6945.71万元</w:t>
      </w:r>
    </w:p>
    <w:p>
      <w:pPr>
        <w:ind w:firstLine="560" w:firstLineChars="200"/>
        <w:rPr>
          <w:sz w:val="28"/>
          <w:szCs w:val="28"/>
        </w:rPr>
      </w:pPr>
      <w:r>
        <w:rPr>
          <w:rFonts w:hint="eastAsia"/>
          <w:sz w:val="28"/>
          <w:szCs w:val="28"/>
        </w:rPr>
        <w:t>（四）、资产负债率93.16%</w:t>
      </w:r>
    </w:p>
    <w:p>
      <w:pPr>
        <w:ind w:firstLine="562" w:firstLineChars="200"/>
        <w:rPr>
          <w:b/>
          <w:bCs/>
          <w:sz w:val="28"/>
          <w:szCs w:val="28"/>
        </w:rPr>
      </w:pPr>
      <w:r>
        <w:rPr>
          <w:rFonts w:hint="eastAsia"/>
          <w:b/>
          <w:bCs/>
          <w:sz w:val="28"/>
          <w:szCs w:val="28"/>
        </w:rPr>
        <w:t>六、存在的问题</w:t>
      </w:r>
    </w:p>
    <w:p>
      <w:pPr>
        <w:ind w:firstLine="560" w:firstLineChars="200"/>
        <w:rPr>
          <w:sz w:val="28"/>
          <w:szCs w:val="28"/>
        </w:rPr>
      </w:pPr>
      <w:r>
        <w:rPr>
          <w:rFonts w:hint="eastAsia"/>
          <w:sz w:val="28"/>
          <w:szCs w:val="28"/>
        </w:rPr>
        <w:t>1、药占比和耗材占比较高。</w:t>
      </w:r>
    </w:p>
    <w:p>
      <w:pPr>
        <w:ind w:firstLine="560"/>
        <w:rPr>
          <w:sz w:val="28"/>
          <w:szCs w:val="28"/>
        </w:rPr>
      </w:pPr>
      <w:r>
        <w:rPr>
          <w:rFonts w:hint="eastAsia"/>
          <w:sz w:val="28"/>
          <w:szCs w:val="28"/>
        </w:rPr>
        <w:t>2、门诊收入和住院收入占比不合理。</w:t>
      </w:r>
    </w:p>
    <w:p>
      <w:pPr>
        <w:ind w:firstLine="560"/>
        <w:rPr>
          <w:sz w:val="28"/>
          <w:szCs w:val="28"/>
        </w:rPr>
      </w:pPr>
      <w:r>
        <w:rPr>
          <w:rFonts w:hint="eastAsia"/>
          <w:sz w:val="28"/>
          <w:szCs w:val="28"/>
        </w:rPr>
        <w:t>3、资产负债率太高。</w:t>
      </w:r>
    </w:p>
    <w:p>
      <w:pPr>
        <w:ind w:firstLine="562" w:firstLineChars="200"/>
        <w:rPr>
          <w:sz w:val="28"/>
          <w:szCs w:val="28"/>
        </w:rPr>
      </w:pPr>
      <w:r>
        <w:rPr>
          <w:rFonts w:hint="eastAsia"/>
          <w:b/>
          <w:bCs/>
          <w:sz w:val="28"/>
          <w:szCs w:val="28"/>
        </w:rPr>
        <w:t>七、采取的措施</w:t>
      </w:r>
    </w:p>
    <w:p>
      <w:pPr>
        <w:ind w:firstLine="560" w:firstLineChars="200"/>
        <w:rPr>
          <w:sz w:val="28"/>
          <w:szCs w:val="28"/>
        </w:rPr>
      </w:pPr>
      <w:r>
        <w:rPr>
          <w:rFonts w:hint="eastAsia"/>
          <w:sz w:val="28"/>
          <w:szCs w:val="28"/>
        </w:rPr>
        <w:t>（一）通过与路南区政府沟通，尽快收回医院垫付的6400万元拆迁款。</w:t>
      </w:r>
    </w:p>
    <w:p>
      <w:pPr>
        <w:ind w:firstLine="560" w:firstLineChars="200"/>
        <w:rPr>
          <w:sz w:val="28"/>
          <w:szCs w:val="28"/>
        </w:rPr>
      </w:pPr>
      <w:r>
        <w:rPr>
          <w:rFonts w:hint="eastAsia"/>
          <w:sz w:val="28"/>
          <w:szCs w:val="28"/>
        </w:rPr>
        <w:t>（二）调整收入结构，加大药品超标处罚力度，有效措施降低药占比和耗材收入占比，增加有效收入；出台了《唐山市人民医院关于加快病区床位周转的奖励办法》，缩短平均住院日。</w:t>
      </w:r>
    </w:p>
    <w:p>
      <w:pPr>
        <w:ind w:firstLine="560" w:firstLineChars="200"/>
        <w:rPr>
          <w:sz w:val="28"/>
          <w:szCs w:val="28"/>
        </w:rPr>
      </w:pPr>
      <w:r>
        <w:rPr>
          <w:rFonts w:hint="eastAsia"/>
          <w:sz w:val="28"/>
          <w:szCs w:val="28"/>
        </w:rPr>
        <w:t>（三）加强全面预算管理，实行全成本核算，严格控制支出，特别是不可收费的卫生材料和试剂支出，最有效的方法是清点各临床医技科室库存，压缩各科室支领，2021年1月出台了《唐山市人民医院关于办公用品定额管理规定》，办公用品按每人每月20元实行定额管理。</w:t>
      </w:r>
    </w:p>
    <w:p>
      <w:pPr>
        <w:ind w:firstLine="560" w:firstLineChars="200"/>
        <w:rPr>
          <w:sz w:val="28"/>
          <w:szCs w:val="28"/>
        </w:rPr>
      </w:pPr>
      <w:r>
        <w:rPr>
          <w:rFonts w:hint="eastAsia"/>
          <w:sz w:val="28"/>
          <w:szCs w:val="28"/>
        </w:rPr>
        <w:t>（四）利用负债资金必须持谨慎态度，进行充分论证，合理控制贷款规模，不能盲目举债。</w:t>
      </w:r>
    </w:p>
    <w:p>
      <w:pPr>
        <w:ind w:firstLine="560" w:firstLineChars="200"/>
        <w:rPr>
          <w:sz w:val="28"/>
          <w:szCs w:val="28"/>
        </w:rPr>
      </w:pPr>
      <w:r>
        <w:rPr>
          <w:rFonts w:hint="eastAsia"/>
          <w:sz w:val="28"/>
          <w:szCs w:val="28"/>
        </w:rPr>
        <w:t>（五）争取财政补助，减少银行贷款。</w:t>
      </w:r>
    </w:p>
    <w:p>
      <w:pPr>
        <w:ind w:firstLine="560" w:firstLineChars="200"/>
        <w:rPr>
          <w:sz w:val="28"/>
          <w:szCs w:val="28"/>
        </w:rPr>
      </w:pPr>
      <w:r>
        <w:rPr>
          <w:rFonts w:hint="eastAsia"/>
          <w:sz w:val="28"/>
          <w:szCs w:val="28"/>
        </w:rPr>
        <w:t>（六）压缩药品和卫生材料库存量，缩短药品、耗材及设备款的付款周期。</w:t>
      </w:r>
    </w:p>
    <w:p>
      <w:pPr>
        <w:ind w:firstLine="560" w:firstLineChars="200"/>
        <w:rPr>
          <w:sz w:val="28"/>
          <w:szCs w:val="28"/>
        </w:rPr>
      </w:pPr>
      <w:r>
        <w:rPr>
          <w:rFonts w:hint="eastAsia"/>
          <w:sz w:val="28"/>
          <w:szCs w:val="28"/>
        </w:rPr>
        <w:t xml:space="preserve">（七）压缩医院大型医疗设备的采购及大型基建工程项目建设。                </w:t>
      </w:r>
    </w:p>
    <w:sectPr>
      <w:footerReference r:id="rId3" w:type="default"/>
      <w:pgSz w:w="11906" w:h="16838"/>
      <w:pgMar w:top="1587" w:right="1587" w:bottom="1417"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Tahoma">
    <w:panose1 w:val="020B0604030504040204"/>
    <w:charset w:val="00"/>
    <w:family w:val="swiss"/>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3C639A"/>
    <w:multiLevelType w:val="singleLevel"/>
    <w:tmpl w:val="8A3C639A"/>
    <w:lvl w:ilvl="0" w:tentative="0">
      <w:start w:val="1"/>
      <w:numFmt w:val="chineseCounting"/>
      <w:suff w:val="nothing"/>
      <w:lvlText w:val="%1、"/>
      <w:lvlJc w:val="left"/>
      <w:rPr>
        <w:rFonts w:hint="eastAsia"/>
      </w:rPr>
    </w:lvl>
  </w:abstractNum>
  <w:abstractNum w:abstractNumId="1">
    <w:nsid w:val="FEFFDACB"/>
    <w:multiLevelType w:val="singleLevel"/>
    <w:tmpl w:val="FEFFDAC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71B5F39"/>
    <w:rsid w:val="002B23D9"/>
    <w:rsid w:val="00AC07DC"/>
    <w:rsid w:val="00EF6D95"/>
    <w:rsid w:val="038653C0"/>
    <w:rsid w:val="03BD7612"/>
    <w:rsid w:val="043D6D5C"/>
    <w:rsid w:val="04962776"/>
    <w:rsid w:val="04E87266"/>
    <w:rsid w:val="05433B62"/>
    <w:rsid w:val="067F26E1"/>
    <w:rsid w:val="06B02617"/>
    <w:rsid w:val="082019E0"/>
    <w:rsid w:val="086A45F5"/>
    <w:rsid w:val="0C183958"/>
    <w:rsid w:val="0E781C82"/>
    <w:rsid w:val="0EC00979"/>
    <w:rsid w:val="0F7547BA"/>
    <w:rsid w:val="0F8B2001"/>
    <w:rsid w:val="10E64517"/>
    <w:rsid w:val="11D02185"/>
    <w:rsid w:val="12421122"/>
    <w:rsid w:val="1338382A"/>
    <w:rsid w:val="15C10BEA"/>
    <w:rsid w:val="19E777E2"/>
    <w:rsid w:val="1A620914"/>
    <w:rsid w:val="1AAF6A37"/>
    <w:rsid w:val="1ABA69CE"/>
    <w:rsid w:val="1C35171A"/>
    <w:rsid w:val="1D3D73AF"/>
    <w:rsid w:val="1D69292A"/>
    <w:rsid w:val="212E0CCF"/>
    <w:rsid w:val="22334B76"/>
    <w:rsid w:val="25465C5B"/>
    <w:rsid w:val="271B5F39"/>
    <w:rsid w:val="27555177"/>
    <w:rsid w:val="29353163"/>
    <w:rsid w:val="293B3FB4"/>
    <w:rsid w:val="29791B61"/>
    <w:rsid w:val="2AE34410"/>
    <w:rsid w:val="2DEB146B"/>
    <w:rsid w:val="2DFA06EF"/>
    <w:rsid w:val="30AA4829"/>
    <w:rsid w:val="31036359"/>
    <w:rsid w:val="32155FDD"/>
    <w:rsid w:val="32531E61"/>
    <w:rsid w:val="330C7072"/>
    <w:rsid w:val="337C5879"/>
    <w:rsid w:val="34C77001"/>
    <w:rsid w:val="35742F71"/>
    <w:rsid w:val="36FA6DC2"/>
    <w:rsid w:val="371B5CA0"/>
    <w:rsid w:val="37277AAB"/>
    <w:rsid w:val="37D93C1E"/>
    <w:rsid w:val="37DA5F5D"/>
    <w:rsid w:val="387E0442"/>
    <w:rsid w:val="3A4C36E9"/>
    <w:rsid w:val="3C23347C"/>
    <w:rsid w:val="3C6B627B"/>
    <w:rsid w:val="3C881E84"/>
    <w:rsid w:val="3D5104FD"/>
    <w:rsid w:val="3E4F58A6"/>
    <w:rsid w:val="3E824642"/>
    <w:rsid w:val="3ED81CFA"/>
    <w:rsid w:val="41426502"/>
    <w:rsid w:val="43434EA4"/>
    <w:rsid w:val="451330EF"/>
    <w:rsid w:val="46134740"/>
    <w:rsid w:val="46FB27E2"/>
    <w:rsid w:val="4AB55A6C"/>
    <w:rsid w:val="4AB65FA7"/>
    <w:rsid w:val="4B570C1A"/>
    <w:rsid w:val="4EAE7D79"/>
    <w:rsid w:val="4FCB0E1F"/>
    <w:rsid w:val="50606D19"/>
    <w:rsid w:val="50625489"/>
    <w:rsid w:val="535D6829"/>
    <w:rsid w:val="537E473E"/>
    <w:rsid w:val="53E401C5"/>
    <w:rsid w:val="57634FDB"/>
    <w:rsid w:val="585979AD"/>
    <w:rsid w:val="5899437F"/>
    <w:rsid w:val="58A67792"/>
    <w:rsid w:val="5BE80678"/>
    <w:rsid w:val="5D736493"/>
    <w:rsid w:val="5E5D6347"/>
    <w:rsid w:val="5EA62098"/>
    <w:rsid w:val="5F0071D5"/>
    <w:rsid w:val="608E06D4"/>
    <w:rsid w:val="615E2FC9"/>
    <w:rsid w:val="62114979"/>
    <w:rsid w:val="62484622"/>
    <w:rsid w:val="641103A8"/>
    <w:rsid w:val="65094407"/>
    <w:rsid w:val="668F5426"/>
    <w:rsid w:val="66A76350"/>
    <w:rsid w:val="66A76DE9"/>
    <w:rsid w:val="66E84ABB"/>
    <w:rsid w:val="68CB0651"/>
    <w:rsid w:val="6A3F36F4"/>
    <w:rsid w:val="6CF73C67"/>
    <w:rsid w:val="6F3120DE"/>
    <w:rsid w:val="71547E8C"/>
    <w:rsid w:val="715552A0"/>
    <w:rsid w:val="721728CF"/>
    <w:rsid w:val="76954754"/>
    <w:rsid w:val="76EA2050"/>
    <w:rsid w:val="785D0AE7"/>
    <w:rsid w:val="794571E0"/>
    <w:rsid w:val="7A3666E5"/>
    <w:rsid w:val="7A923E92"/>
    <w:rsid w:val="7C274B15"/>
    <w:rsid w:val="7C9B1850"/>
    <w:rsid w:val="7CB55088"/>
    <w:rsid w:val="7F8D2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font51"/>
    <w:basedOn w:val="6"/>
    <w:qFormat/>
    <w:uiPriority w:val="0"/>
    <w:rPr>
      <w:rFonts w:hint="eastAsia" w:ascii="微软雅黑" w:hAnsi="微软雅黑" w:eastAsia="微软雅黑" w:cs="微软雅黑"/>
      <w:color w:val="000000"/>
      <w:sz w:val="22"/>
      <w:szCs w:val="22"/>
      <w:u w:val="none"/>
    </w:rPr>
  </w:style>
  <w:style w:type="character" w:customStyle="1" w:styleId="8">
    <w:name w:val="font31"/>
    <w:basedOn w:val="6"/>
    <w:qFormat/>
    <w:uiPriority w:val="0"/>
    <w:rPr>
      <w:rFonts w:hint="eastAsia" w:ascii="微软雅黑" w:hAnsi="微软雅黑" w:eastAsia="微软雅黑" w:cs="微软雅黑"/>
      <w:b/>
      <w:color w:val="000000"/>
      <w:sz w:val="22"/>
      <w:szCs w:val="22"/>
      <w:u w:val="none"/>
    </w:rPr>
  </w:style>
  <w:style w:type="character" w:customStyle="1" w:styleId="9">
    <w:name w:val="font21"/>
    <w:basedOn w:val="6"/>
    <w:qFormat/>
    <w:uiPriority w:val="0"/>
    <w:rPr>
      <w:rFonts w:hint="default" w:ascii="Tahoma" w:hAnsi="Tahoma" w:eastAsia="Tahoma" w:cs="Tahoma"/>
      <w:b/>
      <w:color w:val="000000"/>
      <w:sz w:val="22"/>
      <w:szCs w:val="22"/>
      <w:u w:val="none"/>
    </w:rPr>
  </w:style>
  <w:style w:type="character" w:customStyle="1" w:styleId="10">
    <w:name w:val="font41"/>
    <w:basedOn w:val="6"/>
    <w:qFormat/>
    <w:uiPriority w:val="0"/>
    <w:rPr>
      <w:rFonts w:hint="eastAsia" w:ascii="微软雅黑" w:hAnsi="微软雅黑" w:eastAsia="微软雅黑" w:cs="微软雅黑"/>
      <w:color w:val="000000"/>
      <w:sz w:val="22"/>
      <w:szCs w:val="22"/>
      <w:u w:val="none"/>
    </w:rPr>
  </w:style>
  <w:style w:type="character" w:customStyle="1" w:styleId="11">
    <w:name w:val="font11"/>
    <w:basedOn w:val="6"/>
    <w:qFormat/>
    <w:uiPriority w:val="0"/>
    <w:rPr>
      <w:rFonts w:hint="eastAsia" w:ascii="宋体" w:hAnsi="宋体" w:eastAsia="宋体" w:cs="宋体"/>
      <w:color w:val="000000"/>
      <w:sz w:val="24"/>
      <w:szCs w:val="24"/>
      <w:u w:val="none"/>
    </w:rPr>
  </w:style>
  <w:style w:type="paragraph" w:styleId="12">
    <w:name w:val="List Paragraph"/>
    <w:basedOn w:val="1"/>
    <w:qFormat/>
    <w:uiPriority w:val="99"/>
    <w:pPr>
      <w:ind w:firstLine="420" w:firstLineChars="200"/>
    </w:pPr>
  </w:style>
  <w:style w:type="character" w:customStyle="1" w:styleId="13">
    <w:name w:val="批注框文本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[工作簿1]Sheet1!$A$2</c:f>
              <c:strCache>
                <c:ptCount val="1"/>
                <c:pt idx="0">
                  <c:v>2021年</c:v>
                </c:pt>
              </c:strCache>
            </c:strRef>
          </c:tx>
          <c:spPr>
            <a:solidFill>
              <a:schemeClr val="accent1"/>
            </a:solidFill>
            <a:ln>
              <a:noFill/>
            </a:ln>
            <a:effectLst/>
          </c:spPr>
          <c:invertIfNegative val="0"/>
          <c:dLbls>
            <c:delete val="1"/>
          </c:dLbls>
          <c:cat>
            <c:strRef>
              <c:f>[工作簿1]Sheet1!$B$1:$F$1</c:f>
              <c:strCache>
                <c:ptCount val="5"/>
                <c:pt idx="0">
                  <c:v>总收入</c:v>
                </c:pt>
                <c:pt idx="1">
                  <c:v>其中业务收入</c:v>
                </c:pt>
                <c:pt idx="2">
                  <c:v>财政拨款收入</c:v>
                </c:pt>
                <c:pt idx="3">
                  <c:v>科教收入</c:v>
                </c:pt>
                <c:pt idx="4">
                  <c:v>其他收入</c:v>
                </c:pt>
              </c:strCache>
            </c:strRef>
          </c:cat>
          <c:val>
            <c:numRef>
              <c:f>[工作簿1]Sheet1!$B$2:$F$2</c:f>
              <c:numCache>
                <c:formatCode>General</c:formatCode>
                <c:ptCount val="5"/>
                <c:pt idx="0">
                  <c:v>148935.19</c:v>
                </c:pt>
                <c:pt idx="1">
                  <c:v>141354.59</c:v>
                </c:pt>
                <c:pt idx="2">
                  <c:v>7375.46</c:v>
                </c:pt>
                <c:pt idx="3">
                  <c:v>202.45</c:v>
                </c:pt>
                <c:pt idx="4">
                  <c:v>205.14</c:v>
                </c:pt>
              </c:numCache>
            </c:numRef>
          </c:val>
        </c:ser>
        <c:ser>
          <c:idx val="1"/>
          <c:order val="1"/>
          <c:tx>
            <c:strRef>
              <c:f>[工作簿1]Sheet1!$A$3</c:f>
              <c:strCache>
                <c:ptCount val="1"/>
                <c:pt idx="0">
                  <c:v>2020年</c:v>
                </c:pt>
              </c:strCache>
            </c:strRef>
          </c:tx>
          <c:spPr>
            <a:solidFill>
              <a:schemeClr val="accent2"/>
            </a:solidFill>
            <a:ln>
              <a:noFill/>
            </a:ln>
            <a:effectLst/>
          </c:spPr>
          <c:invertIfNegative val="0"/>
          <c:dLbls>
            <c:delete val="1"/>
          </c:dLbls>
          <c:cat>
            <c:strRef>
              <c:f>[工作簿1]Sheet1!$B$1:$F$1</c:f>
              <c:strCache>
                <c:ptCount val="5"/>
                <c:pt idx="0">
                  <c:v>总收入</c:v>
                </c:pt>
                <c:pt idx="1">
                  <c:v>其中业务收入</c:v>
                </c:pt>
                <c:pt idx="2">
                  <c:v>财政拨款收入</c:v>
                </c:pt>
                <c:pt idx="3">
                  <c:v>科教收入</c:v>
                </c:pt>
                <c:pt idx="4">
                  <c:v>其他收入</c:v>
                </c:pt>
              </c:strCache>
            </c:strRef>
          </c:cat>
          <c:val>
            <c:numRef>
              <c:f>[工作簿1]Sheet1!$B$3:$F$3</c:f>
              <c:numCache>
                <c:formatCode>General</c:formatCode>
                <c:ptCount val="5"/>
                <c:pt idx="0">
                  <c:v>132963.9</c:v>
                </c:pt>
                <c:pt idx="1">
                  <c:v>126267.7</c:v>
                </c:pt>
                <c:pt idx="2">
                  <c:v>5877.39</c:v>
                </c:pt>
                <c:pt idx="3">
                  <c:v>679.6</c:v>
                </c:pt>
                <c:pt idx="4">
                  <c:v>138.21</c:v>
                </c:pt>
              </c:numCache>
            </c:numRef>
          </c:val>
        </c:ser>
        <c:ser>
          <c:idx val="2"/>
          <c:order val="2"/>
          <c:tx>
            <c:strRef>
              <c:f>[工作簿1]Sheet1!$A$4</c:f>
              <c:strCache>
                <c:ptCount val="1"/>
                <c:pt idx="0">
                  <c:v>同比增减</c:v>
                </c:pt>
              </c:strCache>
            </c:strRef>
          </c:tx>
          <c:spPr>
            <a:solidFill>
              <a:schemeClr val="accent3"/>
            </a:solidFill>
            <a:ln>
              <a:noFill/>
            </a:ln>
            <a:effectLst/>
          </c:spPr>
          <c:invertIfNegative val="0"/>
          <c:dLbls>
            <c:delete val="1"/>
          </c:dLbls>
          <c:cat>
            <c:strRef>
              <c:f>[工作簿1]Sheet1!$B$1:$F$1</c:f>
              <c:strCache>
                <c:ptCount val="5"/>
                <c:pt idx="0">
                  <c:v>总收入</c:v>
                </c:pt>
                <c:pt idx="1">
                  <c:v>其中业务收入</c:v>
                </c:pt>
                <c:pt idx="2">
                  <c:v>财政拨款收入</c:v>
                </c:pt>
                <c:pt idx="3">
                  <c:v>科教收入</c:v>
                </c:pt>
                <c:pt idx="4">
                  <c:v>其他收入</c:v>
                </c:pt>
              </c:strCache>
            </c:strRef>
          </c:cat>
          <c:val>
            <c:numRef>
              <c:f>[工作簿1]Sheet1!$B$4:$F$4</c:f>
              <c:numCache>
                <c:formatCode>General</c:formatCode>
                <c:ptCount val="5"/>
                <c:pt idx="0">
                  <c:v>15971.29</c:v>
                </c:pt>
                <c:pt idx="1">
                  <c:v>15086.89</c:v>
                </c:pt>
                <c:pt idx="2">
                  <c:v>1498.07</c:v>
                </c:pt>
                <c:pt idx="3">
                  <c:v>-477.15</c:v>
                </c:pt>
                <c:pt idx="4">
                  <c:v>66.93</c:v>
                </c:pt>
              </c:numCache>
            </c:numRef>
          </c:val>
        </c:ser>
        <c:ser>
          <c:idx val="3"/>
          <c:order val="3"/>
          <c:tx>
            <c:strRef>
              <c:f>[工作簿1]Sheet1!$A$5</c:f>
              <c:strCache>
                <c:ptCount val="1"/>
                <c:pt idx="0">
                  <c:v>同比增长</c:v>
                </c:pt>
              </c:strCache>
            </c:strRef>
          </c:tx>
          <c:spPr>
            <a:solidFill>
              <a:schemeClr val="accent4"/>
            </a:solidFill>
            <a:ln>
              <a:noFill/>
            </a:ln>
            <a:effectLst/>
          </c:spPr>
          <c:invertIfNegative val="0"/>
          <c:dLbls>
            <c:delete val="1"/>
          </c:dLbls>
          <c:cat>
            <c:strRef>
              <c:f>[工作簿1]Sheet1!$B$1:$F$1</c:f>
              <c:strCache>
                <c:ptCount val="5"/>
                <c:pt idx="0">
                  <c:v>总收入</c:v>
                </c:pt>
                <c:pt idx="1">
                  <c:v>其中业务收入</c:v>
                </c:pt>
                <c:pt idx="2">
                  <c:v>财政拨款收入</c:v>
                </c:pt>
                <c:pt idx="3">
                  <c:v>科教收入</c:v>
                </c:pt>
                <c:pt idx="4">
                  <c:v>其他收入</c:v>
                </c:pt>
              </c:strCache>
            </c:strRef>
          </c:cat>
          <c:val>
            <c:numRef>
              <c:f>[工作簿1]Sheet1!$B$5:$F$5</c:f>
              <c:numCache>
                <c:formatCode>0.00%</c:formatCode>
                <c:ptCount val="5"/>
                <c:pt idx="0">
                  <c:v>0.1201</c:v>
                </c:pt>
                <c:pt idx="1">
                  <c:v>0.1195</c:v>
                </c:pt>
                <c:pt idx="2">
                  <c:v>0.2549</c:v>
                </c:pt>
                <c:pt idx="3">
                  <c:v>-0.7021</c:v>
                </c:pt>
                <c:pt idx="4">
                  <c:v>0.3263</c:v>
                </c:pt>
              </c:numCache>
            </c:numRef>
          </c:val>
        </c:ser>
        <c:dLbls>
          <c:showLegendKey val="0"/>
          <c:showVal val="0"/>
          <c:showCatName val="0"/>
          <c:showSerName val="0"/>
          <c:showPercent val="0"/>
          <c:showBubbleSize val="0"/>
        </c:dLbls>
        <c:gapWidth val="219"/>
        <c:overlap val="-27"/>
        <c:axId val="127897600"/>
        <c:axId val="127899136"/>
      </c:barChart>
      <c:catAx>
        <c:axId val="12789760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7899136"/>
        <c:crosses val="autoZero"/>
        <c:auto val="1"/>
        <c:lblAlgn val="ctr"/>
        <c:lblOffset val="100"/>
        <c:noMultiLvlLbl val="0"/>
      </c:catAx>
      <c:valAx>
        <c:axId val="12789913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78976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[工作簿1]Sheet2!$B$1</c:f>
              <c:strCache>
                <c:ptCount val="1"/>
                <c:pt idx="0">
                  <c:v>2021年</c:v>
                </c:pt>
              </c:strCache>
            </c:strRef>
          </c:tx>
          <c:spPr>
            <a:solidFill>
              <a:schemeClr val="accent1"/>
            </a:solidFill>
            <a:ln>
              <a:noFill/>
            </a:ln>
            <a:effectLst/>
          </c:spPr>
          <c:invertIfNegative val="0"/>
          <c:dLbls>
            <c:delete val="1"/>
          </c:dLbls>
          <c:cat>
            <c:strRef>
              <c:f>[工作簿1]Sheet2!$A$2:$A$12</c:f>
              <c:strCache>
                <c:ptCount val="11"/>
                <c:pt idx="0">
                  <c:v>诊察收入</c:v>
                </c:pt>
                <c:pt idx="1">
                  <c:v>检查收入</c:v>
                </c:pt>
                <c:pt idx="2">
                  <c:v>化验收入</c:v>
                </c:pt>
                <c:pt idx="3">
                  <c:v>治疗收入</c:v>
                </c:pt>
                <c:pt idx="4">
                  <c:v>手术收入</c:v>
                </c:pt>
                <c:pt idx="5">
                  <c:v>护理收入</c:v>
                </c:pt>
                <c:pt idx="6">
                  <c:v>耗材收入</c:v>
                </c:pt>
                <c:pt idx="7">
                  <c:v>药品收入</c:v>
                </c:pt>
                <c:pt idx="8">
                  <c:v>床位收入</c:v>
                </c:pt>
                <c:pt idx="9">
                  <c:v>其他收入</c:v>
                </c:pt>
                <c:pt idx="10">
                  <c:v>合计</c:v>
                </c:pt>
              </c:strCache>
            </c:strRef>
          </c:cat>
          <c:val>
            <c:numRef>
              <c:f>[工作簿1]Sheet2!$B$2:$B$12</c:f>
              <c:numCache>
                <c:formatCode>General</c:formatCode>
                <c:ptCount val="11"/>
                <c:pt idx="0">
                  <c:v>1674.74</c:v>
                </c:pt>
                <c:pt idx="1">
                  <c:v>17230.11</c:v>
                </c:pt>
                <c:pt idx="2">
                  <c:v>19636.74</c:v>
                </c:pt>
                <c:pt idx="3">
                  <c:v>12646.86</c:v>
                </c:pt>
                <c:pt idx="4">
                  <c:v>5117.8</c:v>
                </c:pt>
                <c:pt idx="5">
                  <c:v>1540.24</c:v>
                </c:pt>
                <c:pt idx="6">
                  <c:v>17633.92</c:v>
                </c:pt>
                <c:pt idx="7">
                  <c:v>60709.96</c:v>
                </c:pt>
                <c:pt idx="8">
                  <c:v>1875.91</c:v>
                </c:pt>
                <c:pt idx="9">
                  <c:v>3085.86</c:v>
                </c:pt>
                <c:pt idx="10">
                  <c:v>141152.14</c:v>
                </c:pt>
              </c:numCache>
            </c:numRef>
          </c:val>
        </c:ser>
        <c:ser>
          <c:idx val="1"/>
          <c:order val="1"/>
          <c:tx>
            <c:strRef>
              <c:f>[工作簿1]Sheet2!$C$1</c:f>
              <c:strCache>
                <c:ptCount val="1"/>
                <c:pt idx="0">
                  <c:v>2020年</c:v>
                </c:pt>
              </c:strCache>
            </c:strRef>
          </c:tx>
          <c:spPr>
            <a:solidFill>
              <a:schemeClr val="accent2"/>
            </a:solidFill>
            <a:ln>
              <a:noFill/>
            </a:ln>
            <a:effectLst/>
          </c:spPr>
          <c:invertIfNegative val="0"/>
          <c:dLbls>
            <c:delete val="1"/>
          </c:dLbls>
          <c:cat>
            <c:strRef>
              <c:f>[工作簿1]Sheet2!$A$2:$A$12</c:f>
              <c:strCache>
                <c:ptCount val="11"/>
                <c:pt idx="0">
                  <c:v>诊察收入</c:v>
                </c:pt>
                <c:pt idx="1">
                  <c:v>检查收入</c:v>
                </c:pt>
                <c:pt idx="2">
                  <c:v>化验收入</c:v>
                </c:pt>
                <c:pt idx="3">
                  <c:v>治疗收入</c:v>
                </c:pt>
                <c:pt idx="4">
                  <c:v>手术收入</c:v>
                </c:pt>
                <c:pt idx="5">
                  <c:v>护理收入</c:v>
                </c:pt>
                <c:pt idx="6">
                  <c:v>耗材收入</c:v>
                </c:pt>
                <c:pt idx="7">
                  <c:v>药品收入</c:v>
                </c:pt>
                <c:pt idx="8">
                  <c:v>床位收入</c:v>
                </c:pt>
                <c:pt idx="9">
                  <c:v>其他收入</c:v>
                </c:pt>
                <c:pt idx="10">
                  <c:v>合计</c:v>
                </c:pt>
              </c:strCache>
            </c:strRef>
          </c:cat>
          <c:val>
            <c:numRef>
              <c:f>[工作簿1]Sheet2!$C$2:$C$12</c:f>
              <c:numCache>
                <c:formatCode>General</c:formatCode>
                <c:ptCount val="11"/>
                <c:pt idx="0">
                  <c:v>1606.2</c:v>
                </c:pt>
                <c:pt idx="1">
                  <c:v>15298.75</c:v>
                </c:pt>
                <c:pt idx="2">
                  <c:v>15706.26</c:v>
                </c:pt>
                <c:pt idx="3">
                  <c:v>11820.2</c:v>
                </c:pt>
                <c:pt idx="4">
                  <c:v>4630.89</c:v>
                </c:pt>
                <c:pt idx="5">
                  <c:v>1390.53</c:v>
                </c:pt>
                <c:pt idx="6">
                  <c:v>15481.52</c:v>
                </c:pt>
                <c:pt idx="7">
                  <c:v>55765.58</c:v>
                </c:pt>
                <c:pt idx="8">
                  <c:v>1834.42</c:v>
                </c:pt>
                <c:pt idx="9">
                  <c:v>2733.35</c:v>
                </c:pt>
                <c:pt idx="10">
                  <c:v>126267.7</c:v>
                </c:pt>
              </c:numCache>
            </c:numRef>
          </c:val>
        </c:ser>
        <c:ser>
          <c:idx val="2"/>
          <c:order val="2"/>
          <c:tx>
            <c:strRef>
              <c:f>[工作簿1]Sheet2!$D$1</c:f>
              <c:strCache>
                <c:ptCount val="1"/>
                <c:pt idx="0">
                  <c:v>同比增减</c:v>
                </c:pt>
              </c:strCache>
            </c:strRef>
          </c:tx>
          <c:spPr>
            <a:solidFill>
              <a:schemeClr val="accent3"/>
            </a:solidFill>
            <a:ln>
              <a:noFill/>
            </a:ln>
            <a:effectLst/>
          </c:spPr>
          <c:invertIfNegative val="0"/>
          <c:dLbls>
            <c:delete val="1"/>
          </c:dLbls>
          <c:cat>
            <c:strRef>
              <c:f>[工作簿1]Sheet2!$A$2:$A$12</c:f>
              <c:strCache>
                <c:ptCount val="11"/>
                <c:pt idx="0">
                  <c:v>诊察收入</c:v>
                </c:pt>
                <c:pt idx="1">
                  <c:v>检查收入</c:v>
                </c:pt>
                <c:pt idx="2">
                  <c:v>化验收入</c:v>
                </c:pt>
                <c:pt idx="3">
                  <c:v>治疗收入</c:v>
                </c:pt>
                <c:pt idx="4">
                  <c:v>手术收入</c:v>
                </c:pt>
                <c:pt idx="5">
                  <c:v>护理收入</c:v>
                </c:pt>
                <c:pt idx="6">
                  <c:v>耗材收入</c:v>
                </c:pt>
                <c:pt idx="7">
                  <c:v>药品收入</c:v>
                </c:pt>
                <c:pt idx="8">
                  <c:v>床位收入</c:v>
                </c:pt>
                <c:pt idx="9">
                  <c:v>其他收入</c:v>
                </c:pt>
                <c:pt idx="10">
                  <c:v>合计</c:v>
                </c:pt>
              </c:strCache>
            </c:strRef>
          </c:cat>
          <c:val>
            <c:numRef>
              <c:f>[工作簿1]Sheet2!$D$2:$D$12</c:f>
              <c:numCache>
                <c:formatCode>General</c:formatCode>
                <c:ptCount val="11"/>
                <c:pt idx="0">
                  <c:v>68.54</c:v>
                </c:pt>
                <c:pt idx="1">
                  <c:v>1931.36</c:v>
                </c:pt>
                <c:pt idx="2">
                  <c:v>3930.48</c:v>
                </c:pt>
                <c:pt idx="3">
                  <c:v>826.66</c:v>
                </c:pt>
                <c:pt idx="4">
                  <c:v>486.91</c:v>
                </c:pt>
                <c:pt idx="5">
                  <c:v>149.71</c:v>
                </c:pt>
                <c:pt idx="6">
                  <c:v>2152.4</c:v>
                </c:pt>
                <c:pt idx="7">
                  <c:v>4944.38</c:v>
                </c:pt>
                <c:pt idx="8">
                  <c:v>41.49</c:v>
                </c:pt>
                <c:pt idx="9">
                  <c:v>352.51</c:v>
                </c:pt>
                <c:pt idx="10">
                  <c:v>14884.44</c:v>
                </c:pt>
              </c:numCache>
            </c:numRef>
          </c:val>
        </c:ser>
        <c:ser>
          <c:idx val="3"/>
          <c:order val="3"/>
          <c:tx>
            <c:strRef>
              <c:f>[工作簿1]Sheet2!$E$1</c:f>
              <c:strCache>
                <c:ptCount val="1"/>
                <c:pt idx="0">
                  <c:v>同比增长</c:v>
                </c:pt>
              </c:strCache>
            </c:strRef>
          </c:tx>
          <c:spPr>
            <a:solidFill>
              <a:schemeClr val="accent4"/>
            </a:solidFill>
            <a:ln>
              <a:noFill/>
            </a:ln>
            <a:effectLst/>
          </c:spPr>
          <c:invertIfNegative val="0"/>
          <c:dLbls>
            <c:delete val="1"/>
          </c:dLbls>
          <c:cat>
            <c:strRef>
              <c:f>[工作簿1]Sheet2!$A$2:$A$12</c:f>
              <c:strCache>
                <c:ptCount val="11"/>
                <c:pt idx="0">
                  <c:v>诊察收入</c:v>
                </c:pt>
                <c:pt idx="1">
                  <c:v>检查收入</c:v>
                </c:pt>
                <c:pt idx="2">
                  <c:v>化验收入</c:v>
                </c:pt>
                <c:pt idx="3">
                  <c:v>治疗收入</c:v>
                </c:pt>
                <c:pt idx="4">
                  <c:v>手术收入</c:v>
                </c:pt>
                <c:pt idx="5">
                  <c:v>护理收入</c:v>
                </c:pt>
                <c:pt idx="6">
                  <c:v>耗材收入</c:v>
                </c:pt>
                <c:pt idx="7">
                  <c:v>药品收入</c:v>
                </c:pt>
                <c:pt idx="8">
                  <c:v>床位收入</c:v>
                </c:pt>
                <c:pt idx="9">
                  <c:v>其他收入</c:v>
                </c:pt>
                <c:pt idx="10">
                  <c:v>合计</c:v>
                </c:pt>
              </c:strCache>
            </c:strRef>
          </c:cat>
          <c:val>
            <c:numRef>
              <c:f>[工作簿1]Sheet2!$E$2:$E$12</c:f>
              <c:numCache>
                <c:formatCode>0.00%</c:formatCode>
                <c:ptCount val="11"/>
                <c:pt idx="0">
                  <c:v>0.0426721454364338</c:v>
                </c:pt>
                <c:pt idx="1">
                  <c:v>0.126242993708636</c:v>
                </c:pt>
                <c:pt idx="2">
                  <c:v>0.25024926366939</c:v>
                </c:pt>
                <c:pt idx="3">
                  <c:v>0.0699362108932167</c:v>
                </c:pt>
                <c:pt idx="4">
                  <c:v>0.105143935614968</c:v>
                </c:pt>
                <c:pt idx="5">
                  <c:v>0.107663984236227</c:v>
                </c:pt>
                <c:pt idx="6">
                  <c:v>0.139030276096921</c:v>
                </c:pt>
                <c:pt idx="7">
                  <c:v>0.0886636523819891</c:v>
                </c:pt>
                <c:pt idx="8">
                  <c:v>0.0226175030799926</c:v>
                </c:pt>
                <c:pt idx="9">
                  <c:v>0.128966286790934</c:v>
                </c:pt>
                <c:pt idx="10">
                  <c:v>0.117880027908959</c:v>
                </c:pt>
              </c:numCache>
            </c:numRef>
          </c:val>
        </c:ser>
        <c:dLbls>
          <c:showLegendKey val="0"/>
          <c:showVal val="0"/>
          <c:showCatName val="0"/>
          <c:showSerName val="0"/>
          <c:showPercent val="0"/>
          <c:showBubbleSize val="0"/>
        </c:dLbls>
        <c:gapWidth val="219"/>
        <c:overlap val="-27"/>
        <c:axId val="127955328"/>
        <c:axId val="127956864"/>
      </c:barChart>
      <c:catAx>
        <c:axId val="12795532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7956864"/>
        <c:crosses val="autoZero"/>
        <c:auto val="1"/>
        <c:lblAlgn val="ctr"/>
        <c:lblOffset val="100"/>
        <c:noMultiLvlLbl val="0"/>
      </c:catAx>
      <c:valAx>
        <c:axId val="1279568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79553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[工作簿1]Sheet3!$C$1</c:f>
              <c:strCache>
                <c:ptCount val="1"/>
                <c:pt idx="0">
                  <c:v>2021年</c:v>
                </c:pt>
              </c:strCache>
            </c:strRef>
          </c:tx>
          <c:spPr>
            <a:solidFill>
              <a:schemeClr val="accent1"/>
            </a:solidFill>
            <a:ln>
              <a:noFill/>
            </a:ln>
            <a:effectLst/>
          </c:spPr>
          <c:invertIfNegative val="0"/>
          <c:dLbls>
            <c:delete val="1"/>
          </c:dLbls>
          <c:cat>
            <c:multiLvlStrRef>
              <c:f>[工作簿1]Sheet3!$A$2:$B$36</c:f>
              <c:multiLvlStrCache>
                <c:ptCount val="35"/>
                <c:lvl>
                  <c:pt idx="0">
                    <c:v>人员经费</c:v>
                  </c:pt>
                  <c:pt idx="1">
                    <c:v>卫生材料费</c:v>
                  </c:pt>
                  <c:pt idx="2">
                    <c:v>药品支出</c:v>
                  </c:pt>
                  <c:pt idx="3">
                    <c:v>固定资产折旧</c:v>
                  </c:pt>
                  <c:pt idx="4">
                    <c:v>无形资产摊销</c:v>
                  </c:pt>
                  <c:pt idx="5">
                    <c:v>医疗风险金</c:v>
                  </c:pt>
                  <c:pt idx="6">
                    <c:v>办公费</c:v>
                  </c:pt>
                  <c:pt idx="7">
                    <c:v>水费</c:v>
                  </c:pt>
                  <c:pt idx="8">
                    <c:v>电费</c:v>
                  </c:pt>
                  <c:pt idx="9">
                    <c:v>邮电费</c:v>
                  </c:pt>
                  <c:pt idx="10">
                    <c:v>取暖费</c:v>
                  </c:pt>
                  <c:pt idx="11">
                    <c:v>物业管理费</c:v>
                  </c:pt>
                  <c:pt idx="12">
                    <c:v>差旅费</c:v>
                  </c:pt>
                  <c:pt idx="13">
                    <c:v>维修费</c:v>
                  </c:pt>
                  <c:pt idx="14">
                    <c:v>会议费</c:v>
                  </c:pt>
                  <c:pt idx="15">
                    <c:v>培训费</c:v>
                  </c:pt>
                  <c:pt idx="16">
                    <c:v>公务接待费</c:v>
                  </c:pt>
                  <c:pt idx="17">
                    <c:v>劳务费</c:v>
                  </c:pt>
                  <c:pt idx="18">
                    <c:v>工会经费</c:v>
                  </c:pt>
                  <c:pt idx="19">
                    <c:v>福利费</c:v>
                  </c:pt>
                  <c:pt idx="20">
                    <c:v>印刷费</c:v>
                  </c:pt>
                  <c:pt idx="21">
                    <c:v>咨询费</c:v>
                  </c:pt>
                  <c:pt idx="22">
                    <c:v>手续费</c:v>
                  </c:pt>
                  <c:pt idx="23">
                    <c:v>租赁费</c:v>
                  </c:pt>
                  <c:pt idx="24">
                    <c:v>宣传费</c:v>
                  </c:pt>
                  <c:pt idx="25">
                    <c:v>利息费</c:v>
                  </c:pt>
                  <c:pt idx="26">
                    <c:v>公务用车运行</c:v>
                  </c:pt>
                  <c:pt idx="27">
                    <c:v>其他交通费</c:v>
                  </c:pt>
                  <c:pt idx="28">
                    <c:v>其他商品支出</c:v>
                  </c:pt>
                  <c:pt idx="29">
                    <c:v>低值易耗品</c:v>
                  </c:pt>
                  <c:pt idx="30">
                    <c:v>其他支出</c:v>
                  </c:pt>
                  <c:pt idx="31">
                    <c:v>医疗支出小计</c:v>
                  </c:pt>
                  <c:pt idx="32">
                    <c:v>财政项目拨款支出</c:v>
                  </c:pt>
                  <c:pt idx="33">
                    <c:v>科教支出</c:v>
                  </c:pt>
                  <c:pt idx="34">
                    <c:v>支出合计</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2">
                    <c:v>32</c:v>
                  </c:pt>
                  <c:pt idx="33">
                    <c:v>33</c:v>
                  </c:pt>
                </c:lvl>
              </c:multiLvlStrCache>
            </c:multiLvlStrRef>
          </c:cat>
          <c:val>
            <c:numRef>
              <c:f>[工作簿1]Sheet3!$C$2:$C$36</c:f>
              <c:numCache>
                <c:formatCode>General</c:formatCode>
                <c:ptCount val="35"/>
                <c:pt idx="0">
                  <c:v>45653.09</c:v>
                </c:pt>
                <c:pt idx="1">
                  <c:v>28393.87</c:v>
                </c:pt>
                <c:pt idx="2">
                  <c:v>60603.87</c:v>
                </c:pt>
                <c:pt idx="3">
                  <c:v>4411.91</c:v>
                </c:pt>
                <c:pt idx="4">
                  <c:v>136.38</c:v>
                </c:pt>
                <c:pt idx="5">
                  <c:v>423.74</c:v>
                </c:pt>
                <c:pt idx="6">
                  <c:v>224</c:v>
                </c:pt>
                <c:pt idx="7">
                  <c:v>221.34</c:v>
                </c:pt>
                <c:pt idx="8">
                  <c:v>566.12</c:v>
                </c:pt>
                <c:pt idx="9">
                  <c:v>10.34</c:v>
                </c:pt>
                <c:pt idx="10">
                  <c:v>349.32</c:v>
                </c:pt>
                <c:pt idx="11">
                  <c:v>1561.72</c:v>
                </c:pt>
                <c:pt idx="12">
                  <c:v>30.65</c:v>
                </c:pt>
                <c:pt idx="13">
                  <c:v>1917.84</c:v>
                </c:pt>
                <c:pt idx="14">
                  <c:v>12.65</c:v>
                </c:pt>
                <c:pt idx="15">
                  <c:v>23.02</c:v>
                </c:pt>
                <c:pt idx="16">
                  <c:v>0.91</c:v>
                </c:pt>
                <c:pt idx="17">
                  <c:v>5.35</c:v>
                </c:pt>
                <c:pt idx="18">
                  <c:v>627.56</c:v>
                </c:pt>
                <c:pt idx="19" c:formatCode="0.00_ ">
                  <c:v>137.9</c:v>
                </c:pt>
                <c:pt idx="20">
                  <c:v>36.63</c:v>
                </c:pt>
                <c:pt idx="21">
                  <c:v>337.01</c:v>
                </c:pt>
                <c:pt idx="22">
                  <c:v>17.35</c:v>
                </c:pt>
                <c:pt idx="23">
                  <c:v>65.92</c:v>
                </c:pt>
                <c:pt idx="24">
                  <c:v>96.16</c:v>
                </c:pt>
                <c:pt idx="25" c:formatCode="0.00_ ">
                  <c:v>346.9</c:v>
                </c:pt>
                <c:pt idx="26">
                  <c:v>36.97</c:v>
                </c:pt>
                <c:pt idx="27">
                  <c:v>1.26</c:v>
                </c:pt>
                <c:pt idx="28">
                  <c:v>267.79</c:v>
                </c:pt>
                <c:pt idx="29">
                  <c:v>106.76</c:v>
                </c:pt>
                <c:pt idx="30">
                  <c:v>151.93</c:v>
                </c:pt>
                <c:pt idx="31">
                  <c:v>146776.26</c:v>
                </c:pt>
                <c:pt idx="32">
                  <c:v>5402.11</c:v>
                </c:pt>
                <c:pt idx="33">
                  <c:v>263.44</c:v>
                </c:pt>
                <c:pt idx="34">
                  <c:v>152441.8</c:v>
                </c:pt>
              </c:numCache>
            </c:numRef>
          </c:val>
        </c:ser>
        <c:ser>
          <c:idx val="1"/>
          <c:order val="1"/>
          <c:tx>
            <c:strRef>
              <c:f>[工作簿1]Sheet3!$D$1</c:f>
              <c:strCache>
                <c:ptCount val="1"/>
                <c:pt idx="0">
                  <c:v>2020年</c:v>
                </c:pt>
              </c:strCache>
            </c:strRef>
          </c:tx>
          <c:spPr>
            <a:solidFill>
              <a:schemeClr val="accent2"/>
            </a:solidFill>
            <a:ln>
              <a:noFill/>
            </a:ln>
            <a:effectLst/>
          </c:spPr>
          <c:invertIfNegative val="0"/>
          <c:dLbls>
            <c:delete val="1"/>
          </c:dLbls>
          <c:cat>
            <c:multiLvlStrRef>
              <c:f>[工作簿1]Sheet3!$A$2:$B$36</c:f>
              <c:multiLvlStrCache>
                <c:ptCount val="35"/>
                <c:lvl>
                  <c:pt idx="0">
                    <c:v>人员经费</c:v>
                  </c:pt>
                  <c:pt idx="1">
                    <c:v>卫生材料费</c:v>
                  </c:pt>
                  <c:pt idx="2">
                    <c:v>药品支出</c:v>
                  </c:pt>
                  <c:pt idx="3">
                    <c:v>固定资产折旧</c:v>
                  </c:pt>
                  <c:pt idx="4">
                    <c:v>无形资产摊销</c:v>
                  </c:pt>
                  <c:pt idx="5">
                    <c:v>医疗风险金</c:v>
                  </c:pt>
                  <c:pt idx="6">
                    <c:v>办公费</c:v>
                  </c:pt>
                  <c:pt idx="7">
                    <c:v>水费</c:v>
                  </c:pt>
                  <c:pt idx="8">
                    <c:v>电费</c:v>
                  </c:pt>
                  <c:pt idx="9">
                    <c:v>邮电费</c:v>
                  </c:pt>
                  <c:pt idx="10">
                    <c:v>取暖费</c:v>
                  </c:pt>
                  <c:pt idx="11">
                    <c:v>物业管理费</c:v>
                  </c:pt>
                  <c:pt idx="12">
                    <c:v>差旅费</c:v>
                  </c:pt>
                  <c:pt idx="13">
                    <c:v>维修费</c:v>
                  </c:pt>
                  <c:pt idx="14">
                    <c:v>会议费</c:v>
                  </c:pt>
                  <c:pt idx="15">
                    <c:v>培训费</c:v>
                  </c:pt>
                  <c:pt idx="16">
                    <c:v>公务接待费</c:v>
                  </c:pt>
                  <c:pt idx="17">
                    <c:v>劳务费</c:v>
                  </c:pt>
                  <c:pt idx="18">
                    <c:v>工会经费</c:v>
                  </c:pt>
                  <c:pt idx="19">
                    <c:v>福利费</c:v>
                  </c:pt>
                  <c:pt idx="20">
                    <c:v>印刷费</c:v>
                  </c:pt>
                  <c:pt idx="21">
                    <c:v>咨询费</c:v>
                  </c:pt>
                  <c:pt idx="22">
                    <c:v>手续费</c:v>
                  </c:pt>
                  <c:pt idx="23">
                    <c:v>租赁费</c:v>
                  </c:pt>
                  <c:pt idx="24">
                    <c:v>宣传费</c:v>
                  </c:pt>
                  <c:pt idx="25">
                    <c:v>利息费</c:v>
                  </c:pt>
                  <c:pt idx="26">
                    <c:v>公务用车运行</c:v>
                  </c:pt>
                  <c:pt idx="27">
                    <c:v>其他交通费</c:v>
                  </c:pt>
                  <c:pt idx="28">
                    <c:v>其他商品支出</c:v>
                  </c:pt>
                  <c:pt idx="29">
                    <c:v>低值易耗品</c:v>
                  </c:pt>
                  <c:pt idx="30">
                    <c:v>其他支出</c:v>
                  </c:pt>
                  <c:pt idx="31">
                    <c:v>医疗支出小计</c:v>
                  </c:pt>
                  <c:pt idx="32">
                    <c:v>财政项目拨款支出</c:v>
                  </c:pt>
                  <c:pt idx="33">
                    <c:v>科教支出</c:v>
                  </c:pt>
                  <c:pt idx="34">
                    <c:v>支出合计</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2">
                    <c:v>32</c:v>
                  </c:pt>
                  <c:pt idx="33">
                    <c:v>33</c:v>
                  </c:pt>
                </c:lvl>
              </c:multiLvlStrCache>
            </c:multiLvlStrRef>
          </c:cat>
          <c:val>
            <c:numRef>
              <c:f>[工作簿1]Sheet3!$D$2:$D$36</c:f>
              <c:numCache>
                <c:formatCode>General</c:formatCode>
                <c:ptCount val="35"/>
                <c:pt idx="0">
                  <c:v>42976.24</c:v>
                </c:pt>
                <c:pt idx="1">
                  <c:v>23280.68</c:v>
                </c:pt>
                <c:pt idx="2">
                  <c:v>55606.35</c:v>
                </c:pt>
                <c:pt idx="3">
                  <c:v>4917.24</c:v>
                </c:pt>
                <c:pt idx="4">
                  <c:v>117.82</c:v>
                </c:pt>
                <c:pt idx="5">
                  <c:v>378.88</c:v>
                </c:pt>
                <c:pt idx="6">
                  <c:v>313.8</c:v>
                </c:pt>
                <c:pt idx="7">
                  <c:v>217.62</c:v>
                </c:pt>
                <c:pt idx="8">
                  <c:v>517.56</c:v>
                </c:pt>
                <c:pt idx="9">
                  <c:v>9.96</c:v>
                </c:pt>
                <c:pt idx="10">
                  <c:v>216.18</c:v>
                </c:pt>
                <c:pt idx="11">
                  <c:v>1962.17</c:v>
                </c:pt>
                <c:pt idx="12">
                  <c:v>54.6</c:v>
                </c:pt>
                <c:pt idx="13">
                  <c:v>2102.49</c:v>
                </c:pt>
                <c:pt idx="15">
                  <c:v>67.19</c:v>
                </c:pt>
                <c:pt idx="16">
                  <c:v>8.12</c:v>
                </c:pt>
                <c:pt idx="17">
                  <c:v>8.09</c:v>
                </c:pt>
                <c:pt idx="18">
                  <c:v>645.44</c:v>
                </c:pt>
                <c:pt idx="19">
                  <c:v>87.14</c:v>
                </c:pt>
                <c:pt idx="20">
                  <c:v>35.29</c:v>
                </c:pt>
                <c:pt idx="21">
                  <c:v>295.29</c:v>
                </c:pt>
                <c:pt idx="22">
                  <c:v>11.74</c:v>
                </c:pt>
                <c:pt idx="23">
                  <c:v>204.1</c:v>
                </c:pt>
                <c:pt idx="24">
                  <c:v>107.12</c:v>
                </c:pt>
                <c:pt idx="25">
                  <c:v>433.58</c:v>
                </c:pt>
                <c:pt idx="26">
                  <c:v>26.27</c:v>
                </c:pt>
                <c:pt idx="27">
                  <c:v>0.62</c:v>
                </c:pt>
                <c:pt idx="28">
                  <c:v>277.68</c:v>
                </c:pt>
                <c:pt idx="29">
                  <c:v>118.76</c:v>
                </c:pt>
                <c:pt idx="30">
                  <c:v>46.63</c:v>
                </c:pt>
                <c:pt idx="31">
                  <c:v>135044.65</c:v>
                </c:pt>
                <c:pt idx="32">
                  <c:v>3200.95</c:v>
                </c:pt>
                <c:pt idx="33">
                  <c:v>62.77</c:v>
                </c:pt>
                <c:pt idx="34">
                  <c:v>138308.38</c:v>
                </c:pt>
              </c:numCache>
            </c:numRef>
          </c:val>
        </c:ser>
        <c:ser>
          <c:idx val="2"/>
          <c:order val="2"/>
          <c:tx>
            <c:strRef>
              <c:f>[工作簿1]Sheet3!$E$1</c:f>
              <c:strCache>
                <c:ptCount val="1"/>
                <c:pt idx="0">
                  <c:v>同比        增减</c:v>
                </c:pt>
              </c:strCache>
            </c:strRef>
          </c:tx>
          <c:spPr>
            <a:solidFill>
              <a:schemeClr val="accent3"/>
            </a:solidFill>
            <a:ln>
              <a:noFill/>
            </a:ln>
            <a:effectLst/>
          </c:spPr>
          <c:invertIfNegative val="0"/>
          <c:dLbls>
            <c:delete val="1"/>
          </c:dLbls>
          <c:cat>
            <c:multiLvlStrRef>
              <c:f>[工作簿1]Sheet3!$A$2:$B$36</c:f>
              <c:multiLvlStrCache>
                <c:ptCount val="35"/>
                <c:lvl>
                  <c:pt idx="0">
                    <c:v>人员经费</c:v>
                  </c:pt>
                  <c:pt idx="1">
                    <c:v>卫生材料费</c:v>
                  </c:pt>
                  <c:pt idx="2">
                    <c:v>药品支出</c:v>
                  </c:pt>
                  <c:pt idx="3">
                    <c:v>固定资产折旧</c:v>
                  </c:pt>
                  <c:pt idx="4">
                    <c:v>无形资产摊销</c:v>
                  </c:pt>
                  <c:pt idx="5">
                    <c:v>医疗风险金</c:v>
                  </c:pt>
                  <c:pt idx="6">
                    <c:v>办公费</c:v>
                  </c:pt>
                  <c:pt idx="7">
                    <c:v>水费</c:v>
                  </c:pt>
                  <c:pt idx="8">
                    <c:v>电费</c:v>
                  </c:pt>
                  <c:pt idx="9">
                    <c:v>邮电费</c:v>
                  </c:pt>
                  <c:pt idx="10">
                    <c:v>取暖费</c:v>
                  </c:pt>
                  <c:pt idx="11">
                    <c:v>物业管理费</c:v>
                  </c:pt>
                  <c:pt idx="12">
                    <c:v>差旅费</c:v>
                  </c:pt>
                  <c:pt idx="13">
                    <c:v>维修费</c:v>
                  </c:pt>
                  <c:pt idx="14">
                    <c:v>会议费</c:v>
                  </c:pt>
                  <c:pt idx="15">
                    <c:v>培训费</c:v>
                  </c:pt>
                  <c:pt idx="16">
                    <c:v>公务接待费</c:v>
                  </c:pt>
                  <c:pt idx="17">
                    <c:v>劳务费</c:v>
                  </c:pt>
                  <c:pt idx="18">
                    <c:v>工会经费</c:v>
                  </c:pt>
                  <c:pt idx="19">
                    <c:v>福利费</c:v>
                  </c:pt>
                  <c:pt idx="20">
                    <c:v>印刷费</c:v>
                  </c:pt>
                  <c:pt idx="21">
                    <c:v>咨询费</c:v>
                  </c:pt>
                  <c:pt idx="22">
                    <c:v>手续费</c:v>
                  </c:pt>
                  <c:pt idx="23">
                    <c:v>租赁费</c:v>
                  </c:pt>
                  <c:pt idx="24">
                    <c:v>宣传费</c:v>
                  </c:pt>
                  <c:pt idx="25">
                    <c:v>利息费</c:v>
                  </c:pt>
                  <c:pt idx="26">
                    <c:v>公务用车运行</c:v>
                  </c:pt>
                  <c:pt idx="27">
                    <c:v>其他交通费</c:v>
                  </c:pt>
                  <c:pt idx="28">
                    <c:v>其他商品支出</c:v>
                  </c:pt>
                  <c:pt idx="29">
                    <c:v>低值易耗品</c:v>
                  </c:pt>
                  <c:pt idx="30">
                    <c:v>其他支出</c:v>
                  </c:pt>
                  <c:pt idx="31">
                    <c:v>医疗支出小计</c:v>
                  </c:pt>
                  <c:pt idx="32">
                    <c:v>财政项目拨款支出</c:v>
                  </c:pt>
                  <c:pt idx="33">
                    <c:v>科教支出</c:v>
                  </c:pt>
                  <c:pt idx="34">
                    <c:v>支出合计</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2">
                    <c:v>32</c:v>
                  </c:pt>
                  <c:pt idx="33">
                    <c:v>33</c:v>
                  </c:pt>
                </c:lvl>
              </c:multiLvlStrCache>
            </c:multiLvlStrRef>
          </c:cat>
          <c:val>
            <c:numRef>
              <c:f>[工作簿1]Sheet3!$E$2:$E$36</c:f>
              <c:numCache>
                <c:formatCode>General</c:formatCode>
                <c:ptCount val="35"/>
                <c:pt idx="0">
                  <c:v>2676.85</c:v>
                </c:pt>
                <c:pt idx="1">
                  <c:v>5113.19</c:v>
                </c:pt>
                <c:pt idx="2">
                  <c:v>4997.52</c:v>
                </c:pt>
                <c:pt idx="3">
                  <c:v>-505.33</c:v>
                </c:pt>
                <c:pt idx="4">
                  <c:v>18.56</c:v>
                </c:pt>
                <c:pt idx="5">
                  <c:v>44.86</c:v>
                </c:pt>
                <c:pt idx="6">
                  <c:v>-89.8</c:v>
                </c:pt>
                <c:pt idx="7">
                  <c:v>3.72</c:v>
                </c:pt>
                <c:pt idx="8">
                  <c:v>48.5600000000001</c:v>
                </c:pt>
                <c:pt idx="9">
                  <c:v>0.379999999999999</c:v>
                </c:pt>
                <c:pt idx="10">
                  <c:v>133.14</c:v>
                </c:pt>
                <c:pt idx="11">
                  <c:v>-400.45</c:v>
                </c:pt>
                <c:pt idx="12">
                  <c:v>-23.95</c:v>
                </c:pt>
                <c:pt idx="13">
                  <c:v>-184.65</c:v>
                </c:pt>
                <c:pt idx="14">
                  <c:v>12.65</c:v>
                </c:pt>
                <c:pt idx="15">
                  <c:v>-44.17</c:v>
                </c:pt>
                <c:pt idx="16">
                  <c:v>-7.21</c:v>
                </c:pt>
                <c:pt idx="17">
                  <c:v>-2.74</c:v>
                </c:pt>
                <c:pt idx="18">
                  <c:v>-17.8800000000001</c:v>
                </c:pt>
                <c:pt idx="19">
                  <c:v>50.76</c:v>
                </c:pt>
                <c:pt idx="20">
                  <c:v>1.34</c:v>
                </c:pt>
                <c:pt idx="21">
                  <c:v>41.72</c:v>
                </c:pt>
                <c:pt idx="22">
                  <c:v>5.61</c:v>
                </c:pt>
                <c:pt idx="23">
                  <c:v>-138.18</c:v>
                </c:pt>
                <c:pt idx="24">
                  <c:v>-10.96</c:v>
                </c:pt>
                <c:pt idx="25">
                  <c:v>-86.68</c:v>
                </c:pt>
                <c:pt idx="26">
                  <c:v>10.7</c:v>
                </c:pt>
                <c:pt idx="27">
                  <c:v>0.64</c:v>
                </c:pt>
                <c:pt idx="28">
                  <c:v>-9.89</c:v>
                </c:pt>
                <c:pt idx="29">
                  <c:v>-12</c:v>
                </c:pt>
                <c:pt idx="30">
                  <c:v>105.3</c:v>
                </c:pt>
                <c:pt idx="31">
                  <c:v>11731.61</c:v>
                </c:pt>
                <c:pt idx="32">
                  <c:v>2201.16</c:v>
                </c:pt>
                <c:pt idx="33">
                  <c:v>200.67</c:v>
                </c:pt>
                <c:pt idx="34">
                  <c:v>14133.42</c:v>
                </c:pt>
              </c:numCache>
            </c:numRef>
          </c:val>
        </c:ser>
        <c:ser>
          <c:idx val="3"/>
          <c:order val="3"/>
          <c:tx>
            <c:strRef>
              <c:f>[工作簿1]Sheet3!$F$1</c:f>
              <c:strCache>
                <c:ptCount val="1"/>
                <c:pt idx="0">
                  <c:v>同比       增长</c:v>
                </c:pt>
              </c:strCache>
            </c:strRef>
          </c:tx>
          <c:spPr>
            <a:solidFill>
              <a:schemeClr val="accent4"/>
            </a:solidFill>
            <a:ln>
              <a:noFill/>
            </a:ln>
            <a:effectLst/>
          </c:spPr>
          <c:invertIfNegative val="0"/>
          <c:dLbls>
            <c:delete val="1"/>
          </c:dLbls>
          <c:cat>
            <c:multiLvlStrRef>
              <c:f>[工作簿1]Sheet3!$A$2:$B$36</c:f>
              <c:multiLvlStrCache>
                <c:ptCount val="35"/>
                <c:lvl>
                  <c:pt idx="0">
                    <c:v>人员经费</c:v>
                  </c:pt>
                  <c:pt idx="1">
                    <c:v>卫生材料费</c:v>
                  </c:pt>
                  <c:pt idx="2">
                    <c:v>药品支出</c:v>
                  </c:pt>
                  <c:pt idx="3">
                    <c:v>固定资产折旧</c:v>
                  </c:pt>
                  <c:pt idx="4">
                    <c:v>无形资产摊销</c:v>
                  </c:pt>
                  <c:pt idx="5">
                    <c:v>医疗风险金</c:v>
                  </c:pt>
                  <c:pt idx="6">
                    <c:v>办公费</c:v>
                  </c:pt>
                  <c:pt idx="7">
                    <c:v>水费</c:v>
                  </c:pt>
                  <c:pt idx="8">
                    <c:v>电费</c:v>
                  </c:pt>
                  <c:pt idx="9">
                    <c:v>邮电费</c:v>
                  </c:pt>
                  <c:pt idx="10">
                    <c:v>取暖费</c:v>
                  </c:pt>
                  <c:pt idx="11">
                    <c:v>物业管理费</c:v>
                  </c:pt>
                  <c:pt idx="12">
                    <c:v>差旅费</c:v>
                  </c:pt>
                  <c:pt idx="13">
                    <c:v>维修费</c:v>
                  </c:pt>
                  <c:pt idx="14">
                    <c:v>会议费</c:v>
                  </c:pt>
                  <c:pt idx="15">
                    <c:v>培训费</c:v>
                  </c:pt>
                  <c:pt idx="16">
                    <c:v>公务接待费</c:v>
                  </c:pt>
                  <c:pt idx="17">
                    <c:v>劳务费</c:v>
                  </c:pt>
                  <c:pt idx="18">
                    <c:v>工会经费</c:v>
                  </c:pt>
                  <c:pt idx="19">
                    <c:v>福利费</c:v>
                  </c:pt>
                  <c:pt idx="20">
                    <c:v>印刷费</c:v>
                  </c:pt>
                  <c:pt idx="21">
                    <c:v>咨询费</c:v>
                  </c:pt>
                  <c:pt idx="22">
                    <c:v>手续费</c:v>
                  </c:pt>
                  <c:pt idx="23">
                    <c:v>租赁费</c:v>
                  </c:pt>
                  <c:pt idx="24">
                    <c:v>宣传费</c:v>
                  </c:pt>
                  <c:pt idx="25">
                    <c:v>利息费</c:v>
                  </c:pt>
                  <c:pt idx="26">
                    <c:v>公务用车运行</c:v>
                  </c:pt>
                  <c:pt idx="27">
                    <c:v>其他交通费</c:v>
                  </c:pt>
                  <c:pt idx="28">
                    <c:v>其他商品支出</c:v>
                  </c:pt>
                  <c:pt idx="29">
                    <c:v>低值易耗品</c:v>
                  </c:pt>
                  <c:pt idx="30">
                    <c:v>其他支出</c:v>
                  </c:pt>
                  <c:pt idx="31">
                    <c:v>医疗支出小计</c:v>
                  </c:pt>
                  <c:pt idx="32">
                    <c:v>财政项目拨款支出</c:v>
                  </c:pt>
                  <c:pt idx="33">
                    <c:v>科教支出</c:v>
                  </c:pt>
                  <c:pt idx="34">
                    <c:v>支出合计</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2">
                    <c:v>32</c:v>
                  </c:pt>
                  <c:pt idx="33">
                    <c:v>33</c:v>
                  </c:pt>
                </c:lvl>
              </c:multiLvlStrCache>
            </c:multiLvlStrRef>
          </c:cat>
          <c:val>
            <c:numRef>
              <c:f>[工作簿1]Sheet3!$F$2:$F$36</c:f>
              <c:numCache>
                <c:formatCode>0.00%</c:formatCode>
                <c:ptCount val="35"/>
                <c:pt idx="0">
                  <c:v>0.0622867426280195</c:v>
                </c:pt>
                <c:pt idx="1">
                  <c:v>0.219632330327121</c:v>
                </c:pt>
                <c:pt idx="2">
                  <c:v>0.0898731889433492</c:v>
                </c:pt>
                <c:pt idx="3">
                  <c:v>-0.102766999373632</c:v>
                </c:pt>
                <c:pt idx="4">
                  <c:v>0.157528433203191</c:v>
                </c:pt>
                <c:pt idx="5">
                  <c:v>0.11840160472973</c:v>
                </c:pt>
                <c:pt idx="6">
                  <c:v>-0.2861695347355</c:v>
                </c:pt>
                <c:pt idx="7">
                  <c:v>0.0170940170940171</c:v>
                </c:pt>
                <c:pt idx="8">
                  <c:v>0.0938248705464103</c:v>
                </c:pt>
                <c:pt idx="9">
                  <c:v>0.038152610441767</c:v>
                </c:pt>
                <c:pt idx="10">
                  <c:v>0.615875659172911</c:v>
                </c:pt>
                <c:pt idx="11">
                  <c:v>-0.204085272937615</c:v>
                </c:pt>
                <c:pt idx="12">
                  <c:v>-0.438644688644689</c:v>
                </c:pt>
                <c:pt idx="13">
                  <c:v>-0.0878244367392948</c:v>
                </c:pt>
                <c:pt idx="14">
                  <c:v>0</c:v>
                </c:pt>
                <c:pt idx="15">
                  <c:v>-0.657389492484001</c:v>
                </c:pt>
                <c:pt idx="16">
                  <c:v>-0.887931034482759</c:v>
                </c:pt>
                <c:pt idx="17">
                  <c:v>-0.338689740420272</c:v>
                </c:pt>
                <c:pt idx="18">
                  <c:v>-0.0277020327218643</c:v>
                </c:pt>
                <c:pt idx="19">
                  <c:v>0.582510901996787</c:v>
                </c:pt>
                <c:pt idx="20">
                  <c:v>0.03797109662794</c:v>
                </c:pt>
                <c:pt idx="21">
                  <c:v>0.141284838633208</c:v>
                </c:pt>
                <c:pt idx="22">
                  <c:v>0.477853492333901</c:v>
                </c:pt>
                <c:pt idx="23">
                  <c:v>-0.677021068103872</c:v>
                </c:pt>
                <c:pt idx="24">
                  <c:v>-0.102315160567588</c:v>
                </c:pt>
                <c:pt idx="25">
                  <c:v>-0.19991697033996</c:v>
                </c:pt>
                <c:pt idx="26">
                  <c:v>0.407308717167872</c:v>
                </c:pt>
                <c:pt idx="27">
                  <c:v>1.03225806451613</c:v>
                </c:pt>
                <c:pt idx="28">
                  <c:v>-0.0356165370210314</c:v>
                </c:pt>
                <c:pt idx="29">
                  <c:v>-0.101044122600202</c:v>
                </c:pt>
                <c:pt idx="30">
                  <c:v>2.25820287368647</c:v>
                </c:pt>
                <c:pt idx="31">
                  <c:v>0.0868720826778404</c:v>
                </c:pt>
                <c:pt idx="32">
                  <c:v>0.68765835142692</c:v>
                </c:pt>
                <c:pt idx="33">
                  <c:v>3.19690935160108</c:v>
                </c:pt>
                <c:pt idx="34">
                  <c:v>0.102187734394691</c:v>
                </c:pt>
              </c:numCache>
            </c:numRef>
          </c:val>
        </c:ser>
        <c:ser>
          <c:idx val="4"/>
          <c:order val="4"/>
          <c:tx>
            <c:strRef>
              <c:f>[工作簿1]Sheet3!$G$1</c:f>
              <c:strCache>
                <c:ptCount val="1"/>
                <c:pt idx="0">
                  <c:v>全年预 算数</c:v>
                </c:pt>
              </c:strCache>
            </c:strRef>
          </c:tx>
          <c:spPr>
            <a:solidFill>
              <a:schemeClr val="accent5"/>
            </a:solidFill>
            <a:ln>
              <a:noFill/>
            </a:ln>
            <a:effectLst/>
          </c:spPr>
          <c:invertIfNegative val="0"/>
          <c:dLbls>
            <c:delete val="1"/>
          </c:dLbls>
          <c:cat>
            <c:multiLvlStrRef>
              <c:f>[工作簿1]Sheet3!$A$2:$B$36</c:f>
              <c:multiLvlStrCache>
                <c:ptCount val="35"/>
                <c:lvl>
                  <c:pt idx="0">
                    <c:v>人员经费</c:v>
                  </c:pt>
                  <c:pt idx="1">
                    <c:v>卫生材料费</c:v>
                  </c:pt>
                  <c:pt idx="2">
                    <c:v>药品支出</c:v>
                  </c:pt>
                  <c:pt idx="3">
                    <c:v>固定资产折旧</c:v>
                  </c:pt>
                  <c:pt idx="4">
                    <c:v>无形资产摊销</c:v>
                  </c:pt>
                  <c:pt idx="5">
                    <c:v>医疗风险金</c:v>
                  </c:pt>
                  <c:pt idx="6">
                    <c:v>办公费</c:v>
                  </c:pt>
                  <c:pt idx="7">
                    <c:v>水费</c:v>
                  </c:pt>
                  <c:pt idx="8">
                    <c:v>电费</c:v>
                  </c:pt>
                  <c:pt idx="9">
                    <c:v>邮电费</c:v>
                  </c:pt>
                  <c:pt idx="10">
                    <c:v>取暖费</c:v>
                  </c:pt>
                  <c:pt idx="11">
                    <c:v>物业管理费</c:v>
                  </c:pt>
                  <c:pt idx="12">
                    <c:v>差旅费</c:v>
                  </c:pt>
                  <c:pt idx="13">
                    <c:v>维修费</c:v>
                  </c:pt>
                  <c:pt idx="14">
                    <c:v>会议费</c:v>
                  </c:pt>
                  <c:pt idx="15">
                    <c:v>培训费</c:v>
                  </c:pt>
                  <c:pt idx="16">
                    <c:v>公务接待费</c:v>
                  </c:pt>
                  <c:pt idx="17">
                    <c:v>劳务费</c:v>
                  </c:pt>
                  <c:pt idx="18">
                    <c:v>工会经费</c:v>
                  </c:pt>
                  <c:pt idx="19">
                    <c:v>福利费</c:v>
                  </c:pt>
                  <c:pt idx="20">
                    <c:v>印刷费</c:v>
                  </c:pt>
                  <c:pt idx="21">
                    <c:v>咨询费</c:v>
                  </c:pt>
                  <c:pt idx="22">
                    <c:v>手续费</c:v>
                  </c:pt>
                  <c:pt idx="23">
                    <c:v>租赁费</c:v>
                  </c:pt>
                  <c:pt idx="24">
                    <c:v>宣传费</c:v>
                  </c:pt>
                  <c:pt idx="25">
                    <c:v>利息费</c:v>
                  </c:pt>
                  <c:pt idx="26">
                    <c:v>公务用车运行</c:v>
                  </c:pt>
                  <c:pt idx="27">
                    <c:v>其他交通费</c:v>
                  </c:pt>
                  <c:pt idx="28">
                    <c:v>其他商品支出</c:v>
                  </c:pt>
                  <c:pt idx="29">
                    <c:v>低值易耗品</c:v>
                  </c:pt>
                  <c:pt idx="30">
                    <c:v>其他支出</c:v>
                  </c:pt>
                  <c:pt idx="31">
                    <c:v>医疗支出小计</c:v>
                  </c:pt>
                  <c:pt idx="32">
                    <c:v>财政项目拨款支出</c:v>
                  </c:pt>
                  <c:pt idx="33">
                    <c:v>科教支出</c:v>
                  </c:pt>
                  <c:pt idx="34">
                    <c:v>支出合计</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2">
                    <c:v>32</c:v>
                  </c:pt>
                  <c:pt idx="33">
                    <c:v>33</c:v>
                  </c:pt>
                </c:lvl>
              </c:multiLvlStrCache>
            </c:multiLvlStrRef>
          </c:cat>
          <c:val>
            <c:numRef>
              <c:f>[工作簿1]Sheet3!$G$2:$G$36</c:f>
              <c:numCache>
                <c:formatCode>General</c:formatCode>
                <c:ptCount val="35"/>
                <c:pt idx="0">
                  <c:v>41738.54</c:v>
                </c:pt>
                <c:pt idx="1">
                  <c:v>20000</c:v>
                </c:pt>
                <c:pt idx="2">
                  <c:v>56286</c:v>
                </c:pt>
                <c:pt idx="3">
                  <c:v>3967.42</c:v>
                </c:pt>
                <c:pt idx="4">
                  <c:v>107.59</c:v>
                </c:pt>
                <c:pt idx="5">
                  <c:v>420</c:v>
                </c:pt>
                <c:pt idx="6">
                  <c:v>320</c:v>
                </c:pt>
                <c:pt idx="7">
                  <c:v>246</c:v>
                </c:pt>
                <c:pt idx="8">
                  <c:v>755</c:v>
                </c:pt>
                <c:pt idx="9">
                  <c:v>20</c:v>
                </c:pt>
                <c:pt idx="10">
                  <c:v>305</c:v>
                </c:pt>
                <c:pt idx="11">
                  <c:v>2066</c:v>
                </c:pt>
                <c:pt idx="12">
                  <c:v>100</c:v>
                </c:pt>
                <c:pt idx="13">
                  <c:v>2678.5</c:v>
                </c:pt>
                <c:pt idx="14">
                  <c:v>87.28</c:v>
                </c:pt>
                <c:pt idx="15">
                  <c:v>422.27</c:v>
                </c:pt>
                <c:pt idx="16">
                  <c:v>93.01</c:v>
                </c:pt>
                <c:pt idx="17">
                  <c:v>100</c:v>
                </c:pt>
                <c:pt idx="18">
                  <c:v>478.91</c:v>
                </c:pt>
                <c:pt idx="19">
                  <c:v>190.99</c:v>
                </c:pt>
                <c:pt idx="20">
                  <c:v>50</c:v>
                </c:pt>
                <c:pt idx="21">
                  <c:v>400</c:v>
                </c:pt>
                <c:pt idx="22">
                  <c:v>40</c:v>
                </c:pt>
                <c:pt idx="23">
                  <c:v>180</c:v>
                </c:pt>
                <c:pt idx="24">
                  <c:v>300</c:v>
                </c:pt>
                <c:pt idx="25">
                  <c:v>600</c:v>
                </c:pt>
                <c:pt idx="26">
                  <c:v>85</c:v>
                </c:pt>
                <c:pt idx="27">
                  <c:v>15</c:v>
                </c:pt>
                <c:pt idx="28">
                  <c:v>400</c:v>
                </c:pt>
                <c:pt idx="29">
                  <c:v>100</c:v>
                </c:pt>
                <c:pt idx="31">
                  <c:v>145385.62</c:v>
                </c:pt>
              </c:numCache>
            </c:numRef>
          </c:val>
        </c:ser>
        <c:ser>
          <c:idx val="5"/>
          <c:order val="5"/>
          <c:tx>
            <c:strRef>
              <c:f>[工作簿1]Sheet3!$H$1</c:f>
              <c:strCache>
                <c:ptCount val="1"/>
                <c:pt idx="0">
                  <c:v>占全年预算比例</c:v>
                </c:pt>
              </c:strCache>
            </c:strRef>
          </c:tx>
          <c:spPr>
            <a:solidFill>
              <a:schemeClr val="accent6"/>
            </a:solidFill>
            <a:ln>
              <a:noFill/>
            </a:ln>
            <a:effectLst/>
          </c:spPr>
          <c:invertIfNegative val="0"/>
          <c:dLbls>
            <c:delete val="1"/>
          </c:dLbls>
          <c:cat>
            <c:multiLvlStrRef>
              <c:f>[工作簿1]Sheet3!$A$2:$B$36</c:f>
              <c:multiLvlStrCache>
                <c:ptCount val="35"/>
                <c:lvl>
                  <c:pt idx="0">
                    <c:v>人员经费</c:v>
                  </c:pt>
                  <c:pt idx="1">
                    <c:v>卫生材料费</c:v>
                  </c:pt>
                  <c:pt idx="2">
                    <c:v>药品支出</c:v>
                  </c:pt>
                  <c:pt idx="3">
                    <c:v>固定资产折旧</c:v>
                  </c:pt>
                  <c:pt idx="4">
                    <c:v>无形资产摊销</c:v>
                  </c:pt>
                  <c:pt idx="5">
                    <c:v>医疗风险金</c:v>
                  </c:pt>
                  <c:pt idx="6">
                    <c:v>办公费</c:v>
                  </c:pt>
                  <c:pt idx="7">
                    <c:v>水费</c:v>
                  </c:pt>
                  <c:pt idx="8">
                    <c:v>电费</c:v>
                  </c:pt>
                  <c:pt idx="9">
                    <c:v>邮电费</c:v>
                  </c:pt>
                  <c:pt idx="10">
                    <c:v>取暖费</c:v>
                  </c:pt>
                  <c:pt idx="11">
                    <c:v>物业管理费</c:v>
                  </c:pt>
                  <c:pt idx="12">
                    <c:v>差旅费</c:v>
                  </c:pt>
                  <c:pt idx="13">
                    <c:v>维修费</c:v>
                  </c:pt>
                  <c:pt idx="14">
                    <c:v>会议费</c:v>
                  </c:pt>
                  <c:pt idx="15">
                    <c:v>培训费</c:v>
                  </c:pt>
                  <c:pt idx="16">
                    <c:v>公务接待费</c:v>
                  </c:pt>
                  <c:pt idx="17">
                    <c:v>劳务费</c:v>
                  </c:pt>
                  <c:pt idx="18">
                    <c:v>工会经费</c:v>
                  </c:pt>
                  <c:pt idx="19">
                    <c:v>福利费</c:v>
                  </c:pt>
                  <c:pt idx="20">
                    <c:v>印刷费</c:v>
                  </c:pt>
                  <c:pt idx="21">
                    <c:v>咨询费</c:v>
                  </c:pt>
                  <c:pt idx="22">
                    <c:v>手续费</c:v>
                  </c:pt>
                  <c:pt idx="23">
                    <c:v>租赁费</c:v>
                  </c:pt>
                  <c:pt idx="24">
                    <c:v>宣传费</c:v>
                  </c:pt>
                  <c:pt idx="25">
                    <c:v>利息费</c:v>
                  </c:pt>
                  <c:pt idx="26">
                    <c:v>公务用车运行</c:v>
                  </c:pt>
                  <c:pt idx="27">
                    <c:v>其他交通费</c:v>
                  </c:pt>
                  <c:pt idx="28">
                    <c:v>其他商品支出</c:v>
                  </c:pt>
                  <c:pt idx="29">
                    <c:v>低值易耗品</c:v>
                  </c:pt>
                  <c:pt idx="30">
                    <c:v>其他支出</c:v>
                  </c:pt>
                  <c:pt idx="31">
                    <c:v>医疗支出小计</c:v>
                  </c:pt>
                  <c:pt idx="32">
                    <c:v>财政项目拨款支出</c:v>
                  </c:pt>
                  <c:pt idx="33">
                    <c:v>科教支出</c:v>
                  </c:pt>
                  <c:pt idx="34">
                    <c:v>支出合计</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2">
                    <c:v>32</c:v>
                  </c:pt>
                  <c:pt idx="33">
                    <c:v>33</c:v>
                  </c:pt>
                </c:lvl>
              </c:multiLvlStrCache>
            </c:multiLvlStrRef>
          </c:cat>
          <c:val>
            <c:numRef>
              <c:f>[工作簿1]Sheet3!$H$2:$H$36</c:f>
              <c:numCache>
                <c:formatCode>0.00%</c:formatCode>
                <c:ptCount val="35"/>
                <c:pt idx="0">
                  <c:v>1.09378742045122</c:v>
                </c:pt>
                <c:pt idx="1">
                  <c:v>1.4196935</c:v>
                </c:pt>
                <c:pt idx="2">
                  <c:v>1.07671303698966</c:v>
                </c:pt>
                <c:pt idx="3">
                  <c:v>1.11203502528091</c:v>
                </c:pt>
                <c:pt idx="4">
                  <c:v>1.26758992471419</c:v>
                </c:pt>
                <c:pt idx="5">
                  <c:v>1.00890476190476</c:v>
                </c:pt>
                <c:pt idx="6">
                  <c:v>0.7</c:v>
                </c:pt>
                <c:pt idx="7">
                  <c:v>0.899756097560976</c:v>
                </c:pt>
                <c:pt idx="8">
                  <c:v>0.749827814569537</c:v>
                </c:pt>
                <c:pt idx="9">
                  <c:v>0.517</c:v>
                </c:pt>
                <c:pt idx="10">
                  <c:v>1.14531147540984</c:v>
                </c:pt>
                <c:pt idx="11">
                  <c:v>0.755914811229429</c:v>
                </c:pt>
                <c:pt idx="12">
                  <c:v>0.3065</c:v>
                </c:pt>
                <c:pt idx="13">
                  <c:v>0.716012693671831</c:v>
                </c:pt>
                <c:pt idx="14">
                  <c:v>0.14493583868011</c:v>
                </c:pt>
                <c:pt idx="15">
                  <c:v>0.0545148838420916</c:v>
                </c:pt>
                <c:pt idx="16">
                  <c:v>0.0097838942049242</c:v>
                </c:pt>
                <c:pt idx="17">
                  <c:v>0.0535</c:v>
                </c:pt>
                <c:pt idx="18">
                  <c:v>1.31039234929319</c:v>
                </c:pt>
                <c:pt idx="19">
                  <c:v>0.722027331273889</c:v>
                </c:pt>
                <c:pt idx="20">
                  <c:v>0.7326</c:v>
                </c:pt>
                <c:pt idx="21">
                  <c:v>0.842525</c:v>
                </c:pt>
                <c:pt idx="22">
                  <c:v>0.43375</c:v>
                </c:pt>
                <c:pt idx="23">
                  <c:v>0.366222222222222</c:v>
                </c:pt>
                <c:pt idx="24">
                  <c:v>0.320533333333333</c:v>
                </c:pt>
                <c:pt idx="25">
                  <c:v>0.578166666666667</c:v>
                </c:pt>
                <c:pt idx="26">
                  <c:v>0.434941176470588</c:v>
                </c:pt>
                <c:pt idx="27">
                  <c:v>0.084</c:v>
                </c:pt>
                <c:pt idx="28">
                  <c:v>0.669475</c:v>
                </c:pt>
                <c:pt idx="29">
                  <c:v>1.0676</c:v>
                </c:pt>
                <c:pt idx="31">
                  <c:v>1.00956518258133</c:v>
                </c:pt>
              </c:numCache>
            </c:numRef>
          </c:val>
        </c:ser>
        <c:dLbls>
          <c:showLegendKey val="0"/>
          <c:showVal val="0"/>
          <c:showCatName val="0"/>
          <c:showSerName val="0"/>
          <c:showPercent val="0"/>
          <c:showBubbleSize val="0"/>
        </c:dLbls>
        <c:gapWidth val="219"/>
        <c:overlap val="-27"/>
        <c:axId val="128380928"/>
        <c:axId val="128382464"/>
      </c:barChart>
      <c:catAx>
        <c:axId val="12838092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8382464"/>
        <c:crosses val="autoZero"/>
        <c:auto val="1"/>
        <c:lblAlgn val="ctr"/>
        <c:lblOffset val="100"/>
        <c:noMultiLvlLbl val="0"/>
      </c:catAx>
      <c:valAx>
        <c:axId val="1283824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83809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776</Words>
  <Characters>4428</Characters>
  <Lines>36</Lines>
  <Paragraphs>10</Paragraphs>
  <TotalTime>249</TotalTime>
  <ScaleCrop>false</ScaleCrop>
  <LinksUpToDate>false</LinksUpToDate>
  <CharactersWithSpaces>5194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2020-03-07T02:39:00Z</dcterms:created>
  <dc:creator>董建军</dc:creator>
  <cp:lastModifiedBy>Administrator</cp:lastModifiedBy>
  <cp:lastPrinted>2021-01-11T03:03:00Z</cp:lastPrinted>
  <dcterms:modified xsi:type="dcterms:W3CDTF">2023-03-03T07:19:14Z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42FE3087413D47E0A6638F7900BE26F1</vt:lpwstr>
  </property>
</Properties>
</file>